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48"/>
          <w:szCs w:val="48"/>
          <w:lang w:val="en-US" w:eastAsia="zh-CN"/>
        </w:rPr>
      </w:pPr>
    </w:p>
    <w:p>
      <w:pPr>
        <w:jc w:val="center"/>
        <w:rPr>
          <w:rFonts w:hint="eastAsia" w:ascii="方正小标宋_GBK" w:hAnsi="方正小标宋_GBK" w:eastAsia="方正小标宋_GBK" w:cs="方正小标宋_GBK"/>
          <w:sz w:val="48"/>
          <w:szCs w:val="4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2023年度</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四川省学生资助管理中心决算</w:t>
      </w:r>
    </w:p>
    <w:p>
      <w:pPr>
        <w:jc w:val="center"/>
        <w:rPr>
          <w:rFonts w:hint="eastAsia" w:ascii="方正小标宋_GBK" w:hAnsi="方正小标宋_GBK" w:eastAsia="方正小标宋_GBK" w:cs="方正小标宋_GBK"/>
          <w:sz w:val="48"/>
          <w:szCs w:val="48"/>
          <w:lang w:val="en-US" w:eastAsia="zh-CN"/>
        </w:rPr>
      </w:pPr>
    </w:p>
    <w:p>
      <w:pPr>
        <w:jc w:val="center"/>
        <w:rPr>
          <w:rFonts w:hint="eastAsia" w:ascii="方正小标宋_GBK" w:hAnsi="方正小标宋_GBK" w:eastAsia="方正小标宋_GBK" w:cs="方正小标宋_GBK"/>
          <w:sz w:val="48"/>
          <w:szCs w:val="48"/>
          <w:lang w:val="en-US" w:eastAsia="zh-CN"/>
        </w:rPr>
      </w:pPr>
    </w:p>
    <w:p>
      <w:pPr>
        <w:pStyle w:val="2"/>
        <w:rPr>
          <w:rFonts w:hint="eastAsia" w:ascii="方正小标宋_GBK" w:hAnsi="方正小标宋_GBK" w:eastAsia="方正小标宋_GBK" w:cs="方正小标宋_GBK"/>
          <w:sz w:val="48"/>
          <w:szCs w:val="48"/>
          <w:lang w:val="en-US" w:eastAsia="zh-CN"/>
        </w:rPr>
      </w:pPr>
    </w:p>
    <w:p>
      <w:pPr>
        <w:pStyle w:val="2"/>
        <w:rPr>
          <w:rFonts w:hint="eastAsia" w:ascii="方正小标宋_GBK" w:hAnsi="方正小标宋_GBK" w:eastAsia="方正小标宋_GBK" w:cs="方正小标宋_GBK"/>
          <w:sz w:val="48"/>
          <w:szCs w:val="48"/>
          <w:lang w:val="en-US" w:eastAsia="zh-CN"/>
        </w:rPr>
      </w:pPr>
    </w:p>
    <w:p>
      <w:pPr>
        <w:pStyle w:val="2"/>
        <w:rPr>
          <w:rFonts w:hint="eastAsia" w:ascii="方正小标宋_GBK" w:hAnsi="方正小标宋_GBK" w:eastAsia="方正小标宋_GBK" w:cs="方正小标宋_GBK"/>
          <w:sz w:val="48"/>
          <w:szCs w:val="48"/>
          <w:lang w:val="en-US" w:eastAsia="zh-CN"/>
        </w:rPr>
      </w:pPr>
    </w:p>
    <w:p>
      <w:pPr>
        <w:pStyle w:val="2"/>
        <w:rPr>
          <w:rFonts w:hint="eastAsia" w:ascii="方正小标宋_GBK" w:hAnsi="方正小标宋_GBK" w:eastAsia="方正小标宋_GBK" w:cs="方正小标宋_GBK"/>
          <w:sz w:val="48"/>
          <w:szCs w:val="48"/>
          <w:lang w:val="en-US" w:eastAsia="zh-CN"/>
        </w:rPr>
      </w:pPr>
    </w:p>
    <w:p>
      <w:pPr>
        <w:pStyle w:val="2"/>
        <w:rPr>
          <w:rFonts w:hint="eastAsia" w:ascii="方正小标宋_GBK" w:hAnsi="方正小标宋_GBK" w:eastAsia="方正小标宋_GBK" w:cs="方正小标宋_GBK"/>
          <w:sz w:val="48"/>
          <w:szCs w:val="48"/>
          <w:lang w:val="en-US"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6"/>
        <w:jc w:val="center"/>
        <w:rPr>
          <w:rFonts w:hint="eastAsia" w:eastAsia="仿宋"/>
          <w:lang w:eastAsia="zh-CN"/>
        </w:rPr>
      </w:pPr>
      <w:r>
        <w:rPr>
          <w:rFonts w:hint="eastAsia"/>
          <w:color w:val="auto"/>
          <w:highlight w:val="none"/>
          <w:lang w:eastAsia="zh-CN"/>
        </w:rPr>
        <w:t>（</w:t>
      </w: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r>
        <w:rPr>
          <w:rFonts w:hint="eastAsia"/>
          <w:color w:val="auto"/>
          <w:highlight w:val="none"/>
          <w:lang w:eastAsia="zh-CN"/>
        </w:rPr>
        <w:t>）</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pPr>
      <w:r>
        <w:rPr>
          <w:rFonts w:hint="eastAsia" w:ascii="方正小标宋_GBK" w:hAnsi="方正小标宋_GBK" w:eastAsia="方正小标宋_GBK" w:cs="方正小标宋_GBK"/>
          <w:sz w:val="44"/>
          <w:szCs w:val="44"/>
          <w:lang w:val="en-US" w:eastAsia="zh-CN"/>
        </w:rPr>
        <w:fldChar w:fldCharType="begin"/>
      </w:r>
      <w:r>
        <w:rPr>
          <w:rFonts w:hint="eastAsia" w:ascii="方正小标宋_GBK" w:hAnsi="方正小标宋_GBK" w:eastAsia="方正小标宋_GBK" w:cs="方正小标宋_GBK"/>
          <w:sz w:val="44"/>
          <w:szCs w:val="44"/>
          <w:lang w:val="en-US" w:eastAsia="zh-CN"/>
        </w:rPr>
        <w:instrText xml:space="preserve">TOC \o "1-3" \h \u </w:instrText>
      </w:r>
      <w:r>
        <w:rPr>
          <w:rFonts w:hint="eastAsia" w:ascii="方正小标宋_GBK" w:hAnsi="方正小标宋_GBK" w:eastAsia="方正小标宋_GBK" w:cs="方正小标宋_GBK"/>
          <w:sz w:val="44"/>
          <w:szCs w:val="44"/>
          <w:lang w:val="en-US" w:eastAsia="zh-CN"/>
        </w:rPr>
        <w:fldChar w:fldCharType="separate"/>
      </w:r>
      <w:r>
        <w:rPr>
          <w:rFonts w:hint="eastAsia" w:ascii="方正小标宋_GBK" w:hAnsi="方正小标宋_GBK" w:eastAsia="方正小标宋_GBK" w:cs="方正小标宋_GBK"/>
          <w:sz w:val="24"/>
          <w:szCs w:val="24"/>
          <w:lang w:val="en-US" w:eastAsia="zh-CN"/>
        </w:rPr>
        <w:fldChar w:fldCharType="begin"/>
      </w:r>
      <w:r>
        <w:rPr>
          <w:rFonts w:hint="eastAsia" w:ascii="方正小标宋_GBK" w:hAnsi="方正小标宋_GBK" w:eastAsia="方正小标宋_GBK" w:cs="方正小标宋_GBK"/>
          <w:sz w:val="24"/>
          <w:szCs w:val="24"/>
          <w:lang w:val="en-US" w:eastAsia="zh-CN"/>
        </w:rPr>
        <w:instrText xml:space="preserve"> HYPERLINK \l _Toc2853 </w:instrText>
      </w:r>
      <w:r>
        <w:rPr>
          <w:rFonts w:hint="eastAsia" w:ascii="方正小标宋_GBK" w:hAnsi="方正小标宋_GBK" w:eastAsia="方正小标宋_GBK" w:cs="方正小标宋_GBK"/>
          <w:sz w:val="24"/>
          <w:szCs w:val="24"/>
          <w:lang w:val="en-US" w:eastAsia="zh-CN"/>
        </w:rPr>
        <w:fldChar w:fldCharType="separate"/>
      </w:r>
      <w:r>
        <w:rPr>
          <w:rFonts w:hint="eastAsia" w:ascii="方正小标宋_GBK" w:hAnsi="方正小标宋_GBK" w:eastAsia="方正小标宋_GBK" w:cs="方正小标宋_GBK"/>
          <w:sz w:val="24"/>
          <w:szCs w:val="24"/>
          <w:lang w:val="en-US" w:eastAsia="zh-CN"/>
        </w:rPr>
        <w:t>第一部分 单位概况</w:t>
      </w:r>
      <w:r>
        <w:rPr>
          <w:sz w:val="24"/>
          <w:szCs w:val="24"/>
        </w:rPr>
        <w:tab/>
      </w:r>
      <w:r>
        <w:rPr>
          <w:rFonts w:hint="eastAsia" w:ascii="Calibri" w:hAnsi="Calibri" w:eastAsia="宋体" w:cs="Times New Roman"/>
          <w:sz w:val="21"/>
          <w:szCs w:val="21"/>
        </w:rPr>
        <w:fldChar w:fldCharType="begin"/>
      </w:r>
      <w:r>
        <w:rPr>
          <w:rFonts w:hint="eastAsia" w:ascii="Calibri" w:hAnsi="Calibri" w:eastAsia="宋体" w:cs="Times New Roman"/>
          <w:sz w:val="21"/>
          <w:szCs w:val="21"/>
        </w:rPr>
        <w:instrText xml:space="preserve"> PAGEREF _Toc2853 \h </w:instrText>
      </w:r>
      <w:r>
        <w:rPr>
          <w:rFonts w:hint="eastAsia" w:ascii="Calibri" w:hAnsi="Calibri" w:eastAsia="宋体" w:cs="Times New Roman"/>
          <w:sz w:val="21"/>
          <w:szCs w:val="21"/>
        </w:rPr>
        <w:fldChar w:fldCharType="separate"/>
      </w:r>
      <w:r>
        <w:rPr>
          <w:rFonts w:hint="eastAsia" w:ascii="Calibri" w:hAnsi="Calibri" w:eastAsia="宋体" w:cs="Times New Roman"/>
          <w:sz w:val="21"/>
          <w:szCs w:val="21"/>
        </w:rPr>
        <w:t>1</w:t>
      </w:r>
      <w:r>
        <w:rPr>
          <w:rFonts w:hint="eastAsia" w:ascii="Calibri" w:hAnsi="Calibri" w:eastAsia="宋体" w:cs="Times New Roman"/>
          <w:sz w:val="21"/>
          <w:szCs w:val="21"/>
        </w:rPr>
        <w:fldChar w:fldCharType="end"/>
      </w:r>
      <w:r>
        <w:rPr>
          <w:rFonts w:hint="eastAsia" w:ascii="方正小标宋_GBK" w:hAnsi="方正小标宋_GBK" w:eastAsia="方正小标宋_GBK" w:cs="方正小标宋_GBK"/>
          <w:sz w:val="24"/>
          <w:szCs w:val="24"/>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0" w:leftChars="0" w:firstLine="420" w:firstLineChars="200"/>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_Toc3812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rPr>
        <w:t>一、</w:t>
      </w:r>
      <w:r>
        <w:rPr>
          <w:rFonts w:hint="eastAsia" w:ascii="黑体" w:hAnsi="黑体" w:eastAsia="黑体" w:cs="黑体"/>
          <w:sz w:val="21"/>
          <w:szCs w:val="21"/>
          <w:lang w:eastAsia="zh-CN"/>
        </w:rPr>
        <w:t>主要职责</w:t>
      </w:r>
      <w:r>
        <w:rPr>
          <w:sz w:val="21"/>
          <w:szCs w:val="21"/>
        </w:rPr>
        <w:tab/>
      </w:r>
      <w:r>
        <w:rPr>
          <w:rFonts w:hint="eastAsia" w:ascii="Calibri" w:hAnsi="Calibri" w:eastAsia="宋体" w:cs="Times New Roman"/>
          <w:sz w:val="21"/>
          <w:szCs w:val="21"/>
        </w:rPr>
        <w:fldChar w:fldCharType="begin"/>
      </w:r>
      <w:r>
        <w:rPr>
          <w:rFonts w:hint="eastAsia" w:ascii="Calibri" w:hAnsi="Calibri" w:eastAsia="宋体" w:cs="Times New Roman"/>
          <w:sz w:val="21"/>
          <w:szCs w:val="21"/>
        </w:rPr>
        <w:instrText xml:space="preserve"> PAGEREF _Toc3812 \h </w:instrText>
      </w:r>
      <w:r>
        <w:rPr>
          <w:rFonts w:hint="eastAsia" w:ascii="Calibri" w:hAnsi="Calibri" w:eastAsia="宋体" w:cs="Times New Roman"/>
          <w:sz w:val="21"/>
          <w:szCs w:val="21"/>
        </w:rPr>
        <w:fldChar w:fldCharType="separate"/>
      </w:r>
      <w:r>
        <w:rPr>
          <w:rFonts w:hint="eastAsia" w:ascii="Calibri" w:hAnsi="Calibri" w:eastAsia="宋体" w:cs="Times New Roman"/>
          <w:sz w:val="21"/>
          <w:szCs w:val="21"/>
        </w:rPr>
        <w:t>1</w:t>
      </w:r>
      <w:r>
        <w:rPr>
          <w:rFonts w:hint="eastAsia" w:ascii="Calibri" w:hAnsi="Calibri" w:eastAsia="宋体" w:cs="Times New Roman"/>
          <w:sz w:val="21"/>
          <w:szCs w:val="21"/>
        </w:rPr>
        <w:fldChar w:fldCharType="end"/>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_Toc18546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二、机构设置</w:t>
      </w:r>
      <w:r>
        <w:rPr>
          <w:sz w:val="21"/>
          <w:szCs w:val="21"/>
        </w:rPr>
        <w:tab/>
      </w:r>
      <w:r>
        <w:rPr>
          <w:sz w:val="21"/>
          <w:szCs w:val="21"/>
        </w:rPr>
        <w:fldChar w:fldCharType="begin"/>
      </w:r>
      <w:r>
        <w:rPr>
          <w:sz w:val="21"/>
          <w:szCs w:val="21"/>
        </w:rPr>
        <w:instrText xml:space="preserve"> PAGEREF _Toc18546 \h </w:instrText>
      </w:r>
      <w:r>
        <w:rPr>
          <w:sz w:val="21"/>
          <w:szCs w:val="21"/>
        </w:rPr>
        <w:fldChar w:fldCharType="separate"/>
      </w:r>
      <w:r>
        <w:rPr>
          <w:sz w:val="21"/>
          <w:szCs w:val="21"/>
        </w:rPr>
        <w:t>1</w:t>
      </w:r>
      <w:r>
        <w:rPr>
          <w:sz w:val="21"/>
          <w:szCs w:val="21"/>
        </w:rPr>
        <w:fldChar w:fldCharType="end"/>
      </w:r>
      <w:r>
        <w:rPr>
          <w:rFonts w:hint="eastAsia" w:ascii="方正小标宋_GBK" w:hAnsi="方正小标宋_GBK" w:eastAsia="方正小标宋_GBK" w:cs="方正小标宋_GBK"/>
          <w:sz w:val="21"/>
          <w:szCs w:val="21"/>
          <w:lang w:val="en-US" w:eastAsia="zh-CN"/>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_Toc23383 </w:instrText>
      </w:r>
      <w:r>
        <w:rPr>
          <w:rFonts w:hint="eastAsia" w:ascii="方正小标宋_GBK" w:hAnsi="方正小标宋_GBK" w:eastAsia="方正小标宋_GBK" w:cs="方正小标宋_GBK"/>
          <w:szCs w:val="44"/>
          <w:lang w:val="en-US" w:eastAsia="zh-CN"/>
        </w:rPr>
        <w:fldChar w:fldCharType="separate"/>
      </w:r>
      <w:r>
        <w:rPr>
          <w:rFonts w:hint="eastAsia" w:ascii="方正小标宋_GBK" w:hAnsi="方正小标宋_GBK" w:eastAsia="方正小标宋_GBK" w:cs="方正小标宋_GBK"/>
          <w:sz w:val="24"/>
          <w:szCs w:val="24"/>
          <w:lang w:val="en-US" w:eastAsia="zh-CN"/>
        </w:rPr>
        <w:t>第二部分 2023年单位决算情况说明</w:t>
      </w:r>
      <w:r>
        <w:tab/>
      </w:r>
      <w:r>
        <w:rPr>
          <w:rFonts w:hint="eastAsia" w:ascii="Calibri" w:hAnsi="Calibri" w:eastAsia="宋体" w:cs="Times New Roman"/>
          <w:sz w:val="21"/>
          <w:szCs w:val="21"/>
        </w:rPr>
        <w:fldChar w:fldCharType="begin"/>
      </w:r>
      <w:r>
        <w:rPr>
          <w:rFonts w:hint="eastAsia" w:ascii="Calibri" w:hAnsi="Calibri" w:eastAsia="宋体" w:cs="Times New Roman"/>
          <w:sz w:val="21"/>
          <w:szCs w:val="21"/>
        </w:rPr>
        <w:instrText xml:space="preserve"> PAGEREF _Toc23383 \h </w:instrText>
      </w:r>
      <w:r>
        <w:rPr>
          <w:rFonts w:hint="eastAsia" w:ascii="Calibri" w:hAnsi="Calibri" w:eastAsia="宋体" w:cs="Times New Roman"/>
          <w:sz w:val="21"/>
          <w:szCs w:val="21"/>
        </w:rPr>
        <w:fldChar w:fldCharType="separate"/>
      </w:r>
      <w:r>
        <w:rPr>
          <w:rFonts w:hint="eastAsia" w:ascii="Calibri" w:hAnsi="Calibri" w:eastAsia="宋体" w:cs="Times New Roman"/>
          <w:sz w:val="21"/>
          <w:szCs w:val="21"/>
        </w:rPr>
        <w:t>2</w:t>
      </w:r>
      <w:r>
        <w:rPr>
          <w:rFonts w:hint="eastAsia" w:ascii="Calibri" w:hAnsi="Calibri" w:eastAsia="宋体" w:cs="Times New Roman"/>
          <w:sz w:val="21"/>
          <w:szCs w:val="21"/>
        </w:rPr>
        <w:fldChar w:fldCharType="end"/>
      </w:r>
      <w:r>
        <w:rPr>
          <w:rFonts w:hint="eastAsia" w:ascii="方正小标宋_GBK" w:hAnsi="方正小标宋_GBK" w:eastAsia="方正小标宋_GBK" w:cs="方正小标宋_GBK"/>
          <w:szCs w:val="44"/>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_Toc31272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一、 收入支出决算总体情况说明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_Toc31272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2</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_Toc5284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二、收入决算情况说明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_Toc5284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3</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_Toc10261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三、支出决算情况说明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_Toc10261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3</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_Toc11778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四、财政拨款收入支出决算总体情况说明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_Toc11778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4</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_Toc24750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五、</w:t>
      </w:r>
      <w:r>
        <w:rPr>
          <w:rFonts w:hint="default" w:ascii="黑体" w:hAnsi="黑体" w:eastAsia="黑体" w:cs="黑体"/>
          <w:sz w:val="21"/>
          <w:szCs w:val="21"/>
          <w:lang w:val="en-US" w:eastAsia="zh-CN"/>
        </w:rPr>
        <w:t>一般公共预算财政拨款支出决算情况说明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_Toc24750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5</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_Toc11205 </w:instrText>
      </w:r>
      <w:r>
        <w:rPr>
          <w:rFonts w:hint="eastAsia" w:ascii="方正小标宋_GBK" w:hAnsi="方正小标宋_GBK" w:eastAsia="方正小标宋_GBK" w:cs="方正小标宋_GBK"/>
          <w:szCs w:val="44"/>
          <w:lang w:val="en-US" w:eastAsia="zh-CN"/>
        </w:rPr>
        <w:fldChar w:fldCharType="separate"/>
      </w:r>
      <w:r>
        <w:rPr>
          <w:rFonts w:hint="eastAsia" w:ascii="楷体_GB2312" w:hAnsi="仿宋" w:eastAsia="楷体_GB2312"/>
          <w:szCs w:val="32"/>
        </w:rPr>
        <w:t>（一）一般公共预算财政拨款支出决算总体情况说明</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_Toc11205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5</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_Toc6483 </w:instrText>
      </w:r>
      <w:r>
        <w:rPr>
          <w:rFonts w:hint="eastAsia" w:ascii="方正小标宋_GBK" w:hAnsi="方正小标宋_GBK" w:eastAsia="方正小标宋_GBK" w:cs="方正小标宋_GBK"/>
          <w:szCs w:val="44"/>
          <w:lang w:val="en-US" w:eastAsia="zh-CN"/>
        </w:rPr>
        <w:fldChar w:fldCharType="separate"/>
      </w:r>
      <w:r>
        <w:rPr>
          <w:rFonts w:hint="eastAsia" w:ascii="楷体_GB2312" w:hAnsi="仿宋" w:eastAsia="楷体_GB2312"/>
          <w:szCs w:val="32"/>
          <w:lang w:eastAsia="zh-CN"/>
        </w:rPr>
        <w:t>（二）</w:t>
      </w:r>
      <w:r>
        <w:rPr>
          <w:rFonts w:hint="eastAsia" w:ascii="楷体_GB2312" w:hAnsi="仿宋" w:eastAsia="楷体_GB2312"/>
          <w:szCs w:val="32"/>
        </w:rPr>
        <w:t>一般公共预算财政拨款</w:t>
      </w:r>
      <w:r>
        <w:rPr>
          <w:rFonts w:hint="eastAsia" w:ascii="楷体_GB2312" w:hAnsi="仿宋" w:eastAsia="楷体_GB2312"/>
          <w:szCs w:val="32"/>
          <w:lang w:eastAsia="zh-CN"/>
        </w:rPr>
        <w:t>支出决算结构情况</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_Toc6483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6</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_Toc18209 </w:instrText>
      </w:r>
      <w:r>
        <w:rPr>
          <w:rFonts w:hint="eastAsia" w:ascii="方正小标宋_GBK" w:hAnsi="方正小标宋_GBK" w:eastAsia="方正小标宋_GBK" w:cs="方正小标宋_GBK"/>
          <w:szCs w:val="44"/>
          <w:lang w:val="en-US" w:eastAsia="zh-CN"/>
        </w:rPr>
        <w:fldChar w:fldCharType="separate"/>
      </w:r>
      <w:r>
        <w:rPr>
          <w:rFonts w:hint="eastAsia" w:ascii="楷体_GB2312" w:hAnsi="仿宋" w:eastAsia="楷体_GB2312"/>
          <w:szCs w:val="32"/>
          <w:lang w:val="en-US" w:eastAsia="zh-CN"/>
        </w:rPr>
        <w:t>（三）</w:t>
      </w:r>
      <w:r>
        <w:rPr>
          <w:rFonts w:hint="eastAsia" w:ascii="楷体_GB2312" w:hAnsi="仿宋" w:eastAsia="楷体_GB2312"/>
          <w:szCs w:val="32"/>
          <w:lang w:eastAsia="zh-CN"/>
        </w:rPr>
        <w:t>一般公共预算财政拨款支出决算具体情况</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_Toc18209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7</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_Toc26659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六、一般公共预算财政拨款基本支出决算情况说明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_Toc26659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8</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_Toc15652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七、“三公”经费财政拨款支出决算情况说明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_Toc15652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8</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_Toc2302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八、政府性基金预算支出决算情况说明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_Toc2302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10</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_Toc8682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九、国有资本经营预算支出决算情况说明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_Toc8682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10</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\l _Toc5341 </w:instrText>
      </w:r>
      <w:r>
        <w:rPr>
          <w:rFonts w:hint="eastAsia" w:ascii="黑体" w:hAnsi="黑体" w:eastAsia="黑体" w:cs="黑体"/>
          <w:sz w:val="21"/>
          <w:szCs w:val="21"/>
          <w:lang w:val="en-US" w:eastAsia="zh-CN"/>
        </w:rPr>
        <w:fldChar w:fldCharType="separate"/>
      </w:r>
      <w:r>
        <w:rPr>
          <w:rFonts w:hint="eastAsia" w:ascii="黑体" w:hAnsi="黑体" w:eastAsia="黑体" w:cs="黑体"/>
          <w:sz w:val="21"/>
          <w:szCs w:val="21"/>
          <w:lang w:val="en-US" w:eastAsia="zh-CN"/>
        </w:rPr>
        <w:t>十、其他重要事项的情况说明</w:t>
      </w:r>
      <w:r>
        <w:rPr>
          <w:rFonts w:hint="eastAsia" w:ascii="黑体" w:hAnsi="黑体" w:eastAsia="黑体" w:cs="黑体"/>
          <w:sz w:val="21"/>
          <w:szCs w:val="21"/>
          <w:lang w:val="en-US" w:eastAsia="zh-CN"/>
        </w:rP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_Toc5341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10</w:t>
      </w:r>
      <w:r>
        <w:rPr>
          <w:rFonts w:hint="eastAsia" w:ascii="Calibri" w:hAnsi="Calibri" w:eastAsia="宋体" w:cs="Times New Roman"/>
          <w:sz w:val="21"/>
          <w:szCs w:val="21"/>
          <w:lang w:val="en-US" w:eastAsia="zh-CN"/>
        </w:rPr>
        <w:fldChar w:fldCharType="end"/>
      </w:r>
      <w:r>
        <w:rPr>
          <w:rFonts w:hint="eastAsia" w:ascii="黑体" w:hAnsi="黑体" w:eastAsia="黑体" w:cs="黑体"/>
          <w:sz w:val="21"/>
          <w:szCs w:val="21"/>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_Toc9233 </w:instrText>
      </w:r>
      <w:r>
        <w:rPr>
          <w:rFonts w:hint="eastAsia" w:ascii="方正小标宋_GBK" w:hAnsi="方正小标宋_GBK" w:eastAsia="方正小标宋_GBK" w:cs="方正小标宋_GBK"/>
          <w:szCs w:val="44"/>
          <w:lang w:val="en-US" w:eastAsia="zh-CN"/>
        </w:rPr>
        <w:fldChar w:fldCharType="separate"/>
      </w:r>
      <w:r>
        <w:rPr>
          <w:rFonts w:hint="eastAsia" w:ascii="楷体_GB2312" w:hAnsi="仿宋" w:eastAsia="楷体_GB2312"/>
          <w:szCs w:val="32"/>
        </w:rPr>
        <w:t>（一）机关运行经费支出情况</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_Toc9233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10</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_Toc6846 </w:instrText>
      </w:r>
      <w:r>
        <w:rPr>
          <w:rFonts w:hint="eastAsia" w:ascii="方正小标宋_GBK" w:hAnsi="方正小标宋_GBK" w:eastAsia="方正小标宋_GBK" w:cs="方正小标宋_GBK"/>
          <w:szCs w:val="44"/>
          <w:lang w:val="en-US" w:eastAsia="zh-CN"/>
        </w:rPr>
        <w:fldChar w:fldCharType="separate"/>
      </w:r>
      <w:r>
        <w:rPr>
          <w:rFonts w:hint="eastAsia" w:ascii="楷体_GB2312" w:hAnsi="仿宋" w:eastAsia="楷体_GB2312"/>
          <w:szCs w:val="32"/>
          <w:lang w:val="en-US" w:eastAsia="zh-CN"/>
        </w:rPr>
        <w:t>（二）政府采购支出情况</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_Toc6846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10</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_Toc29832 </w:instrText>
      </w:r>
      <w:r>
        <w:rPr>
          <w:rFonts w:hint="eastAsia" w:ascii="方正小标宋_GBK" w:hAnsi="方正小标宋_GBK" w:eastAsia="方正小标宋_GBK" w:cs="方正小标宋_GBK"/>
          <w:szCs w:val="44"/>
          <w:lang w:val="en-US" w:eastAsia="zh-CN"/>
        </w:rPr>
        <w:fldChar w:fldCharType="separate"/>
      </w:r>
      <w:r>
        <w:rPr>
          <w:rFonts w:hint="eastAsia" w:ascii="楷体_GB2312" w:hAnsi="仿宋" w:eastAsia="楷体_GB2312" w:cs="Times New Roman"/>
          <w:kern w:val="0"/>
          <w:szCs w:val="32"/>
          <w:lang w:val="en-US" w:eastAsia="zh-CN" w:bidi="ar-SA"/>
        </w:rPr>
        <w:t>（三）国有资产占有使用情况</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_Toc29832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11</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Cs w:val="44"/>
          <w:lang w:val="en-US" w:eastAsia="zh-CN"/>
        </w:rPr>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_Toc28394 </w:instrText>
      </w:r>
      <w:r>
        <w:rPr>
          <w:rFonts w:hint="eastAsia" w:ascii="方正小标宋_GBK" w:hAnsi="方正小标宋_GBK" w:eastAsia="方正小标宋_GBK" w:cs="方正小标宋_GBK"/>
          <w:szCs w:val="44"/>
          <w:lang w:val="en-US" w:eastAsia="zh-CN"/>
        </w:rPr>
        <w:fldChar w:fldCharType="separate"/>
      </w:r>
      <w:r>
        <w:rPr>
          <w:rFonts w:hint="default" w:ascii="楷体_GB2312" w:hAnsi="仿宋" w:eastAsia="楷体_GB2312"/>
          <w:szCs w:val="32"/>
          <w:lang w:val="en-US" w:eastAsia="zh-CN"/>
        </w:rPr>
        <w:t>（四）预算绩效管理情况</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_Toc28394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11</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Cs w:val="44"/>
          <w:lang w:val="en-US" w:eastAsia="zh-CN"/>
        </w:rPr>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_Toc28394 </w:instrText>
      </w:r>
      <w:r>
        <w:rPr>
          <w:rFonts w:hint="eastAsia" w:ascii="方正小标宋_GBK" w:hAnsi="方正小标宋_GBK" w:eastAsia="方正小标宋_GBK" w:cs="方正小标宋_GBK"/>
          <w:szCs w:val="44"/>
          <w:lang w:val="en-US" w:eastAsia="zh-CN"/>
        </w:rPr>
        <w:fldChar w:fldCharType="separate"/>
      </w:r>
      <w:r>
        <w:rPr>
          <w:rFonts w:hint="default" w:ascii="楷体_GB2312" w:hAnsi="仿宋" w:eastAsia="楷体_GB2312"/>
          <w:szCs w:val="32"/>
          <w:lang w:val="en-US" w:eastAsia="zh-CN"/>
        </w:rPr>
        <w:t>（</w:t>
      </w:r>
      <w:r>
        <w:rPr>
          <w:rFonts w:hint="eastAsia" w:ascii="楷体_GB2312" w:hAnsi="仿宋" w:eastAsia="楷体_GB2312"/>
          <w:szCs w:val="32"/>
          <w:lang w:val="en-US" w:eastAsia="zh-CN"/>
        </w:rPr>
        <w:t>五</w:t>
      </w:r>
      <w:r>
        <w:rPr>
          <w:rFonts w:hint="default" w:ascii="楷体_GB2312" w:hAnsi="仿宋" w:eastAsia="楷体_GB2312"/>
          <w:szCs w:val="32"/>
          <w:lang w:val="en-US" w:eastAsia="zh-CN"/>
        </w:rPr>
        <w:t>）</w:t>
      </w:r>
      <w:r>
        <w:rPr>
          <w:rFonts w:hint="eastAsia" w:ascii="楷体_GB2312" w:hAnsi="仿宋" w:eastAsia="楷体_GB2312"/>
          <w:szCs w:val="32"/>
          <w:lang w:val="en-US" w:eastAsia="zh-CN"/>
        </w:rPr>
        <w:t>债务还本</w:t>
      </w:r>
      <w:r>
        <w:rPr>
          <w:rFonts w:hint="default" w:ascii="楷体_GB2312" w:hAnsi="仿宋" w:eastAsia="楷体_GB2312"/>
          <w:szCs w:val="32"/>
          <w:lang w:val="en-US" w:eastAsia="zh-CN"/>
        </w:rPr>
        <w:t>情况</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_Toc28394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11</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_Toc6346 </w:instrText>
      </w:r>
      <w:r>
        <w:rPr>
          <w:rFonts w:hint="eastAsia" w:ascii="方正小标宋_GBK" w:hAnsi="方正小标宋_GBK" w:eastAsia="方正小标宋_GBK" w:cs="方正小标宋_GBK"/>
          <w:szCs w:val="44"/>
          <w:lang w:val="en-US" w:eastAsia="zh-CN"/>
        </w:rPr>
        <w:fldChar w:fldCharType="separate"/>
      </w:r>
      <w:r>
        <w:rPr>
          <w:rFonts w:hint="eastAsia" w:ascii="方正小标宋_GBK" w:hAnsi="方正小标宋_GBK" w:eastAsia="方正小标宋_GBK" w:cs="方正小标宋_GBK"/>
          <w:sz w:val="24"/>
          <w:szCs w:val="24"/>
          <w:lang w:val="en-US" w:eastAsia="zh-CN"/>
        </w:rPr>
        <w:t>第三部分 名词解释</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_Toc6346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12</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bookmarkStart w:id="109" w:name="_GoBack"/>
      <w:bookmarkEnd w:id="109"/>
    </w:p>
    <w:p>
      <w:pPr>
        <w:pStyle w:val="10"/>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_Toc30542 </w:instrText>
      </w:r>
      <w:r>
        <w:rPr>
          <w:rFonts w:hint="eastAsia" w:ascii="方正小标宋_GBK" w:hAnsi="方正小标宋_GBK" w:eastAsia="方正小标宋_GBK" w:cs="方正小标宋_GBK"/>
          <w:szCs w:val="44"/>
          <w:lang w:val="en-US" w:eastAsia="zh-CN"/>
        </w:rPr>
        <w:fldChar w:fldCharType="separate"/>
      </w:r>
      <w:r>
        <w:rPr>
          <w:rFonts w:hint="eastAsia" w:ascii="方正小标宋_GBK" w:hAnsi="方正小标宋_GBK" w:eastAsia="方正小标宋_GBK" w:cs="方正小标宋_GBK"/>
          <w:sz w:val="24"/>
          <w:szCs w:val="24"/>
          <w:lang w:val="en-US" w:eastAsia="zh-CN"/>
        </w:rPr>
        <w:t>第四部分 附件</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_Toc30542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1</w:t>
      </w:r>
      <w:r>
        <w:rPr>
          <w:rFonts w:hint="eastAsia" w:cs="Times New Roman"/>
          <w:sz w:val="21"/>
          <w:szCs w:val="21"/>
          <w:lang w:val="en-US" w:eastAsia="zh-CN"/>
        </w:rPr>
        <w:t>5</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 HYPERLINK \l _Toc31237 </w:instrText>
      </w:r>
      <w:r>
        <w:rPr>
          <w:rFonts w:hint="eastAsia" w:ascii="方正小标宋_GBK" w:hAnsi="方正小标宋_GBK" w:eastAsia="方正小标宋_GBK" w:cs="方正小标宋_GBK"/>
          <w:szCs w:val="44"/>
          <w:lang w:val="en-US" w:eastAsia="zh-CN"/>
        </w:rPr>
        <w:fldChar w:fldCharType="separate"/>
      </w:r>
      <w:r>
        <w:rPr>
          <w:rFonts w:hint="eastAsia" w:ascii="方正小标宋_GBK" w:hAnsi="方正小标宋_GBK" w:eastAsia="方正小标宋_GBK" w:cs="方正小标宋_GBK"/>
          <w:sz w:val="24"/>
          <w:szCs w:val="24"/>
          <w:lang w:val="en-US" w:eastAsia="zh-CN"/>
        </w:rPr>
        <w:t>第五部分 附表</w:t>
      </w:r>
      <w:r>
        <w:tab/>
      </w:r>
      <w:r>
        <w:rPr>
          <w:rFonts w:hint="eastAsia" w:ascii="Calibri" w:hAnsi="Calibri" w:eastAsia="宋体" w:cs="Times New Roman"/>
          <w:sz w:val="21"/>
          <w:szCs w:val="21"/>
          <w:lang w:val="en-US" w:eastAsia="zh-CN"/>
        </w:rPr>
        <w:fldChar w:fldCharType="begin"/>
      </w:r>
      <w:r>
        <w:rPr>
          <w:rFonts w:hint="eastAsia" w:ascii="Calibri" w:hAnsi="Calibri" w:eastAsia="宋体" w:cs="Times New Roman"/>
          <w:sz w:val="21"/>
          <w:szCs w:val="21"/>
          <w:lang w:val="en-US" w:eastAsia="zh-CN"/>
        </w:rPr>
        <w:instrText xml:space="preserve"> PAGEREF _Toc31237 \h </w:instrText>
      </w:r>
      <w:r>
        <w:rPr>
          <w:rFonts w:hint="eastAsia" w:ascii="Calibri" w:hAnsi="Calibri" w:eastAsia="宋体" w:cs="Times New Roman"/>
          <w:sz w:val="21"/>
          <w:szCs w:val="21"/>
          <w:lang w:val="en-US" w:eastAsia="zh-CN"/>
        </w:rPr>
        <w:fldChar w:fldCharType="separate"/>
      </w:r>
      <w:r>
        <w:rPr>
          <w:rFonts w:hint="eastAsia" w:ascii="Calibri" w:hAnsi="Calibri" w:eastAsia="宋体" w:cs="Times New Roman"/>
          <w:sz w:val="21"/>
          <w:szCs w:val="21"/>
          <w:lang w:val="en-US" w:eastAsia="zh-CN"/>
        </w:rPr>
        <w:t>2</w:t>
      </w:r>
      <w:r>
        <w:rPr>
          <w:rFonts w:hint="eastAsia" w:cs="Times New Roman"/>
          <w:sz w:val="21"/>
          <w:szCs w:val="21"/>
          <w:lang w:val="en-US" w:eastAsia="zh-CN"/>
        </w:rPr>
        <w:t>9</w:t>
      </w:r>
      <w:r>
        <w:rPr>
          <w:rFonts w:hint="eastAsia" w:ascii="Calibri" w:hAnsi="Calibri" w:eastAsia="宋体" w:cs="Times New Roman"/>
          <w:sz w:val="21"/>
          <w:szCs w:val="21"/>
          <w:lang w:val="en-US" w:eastAsia="zh-CN"/>
        </w:rPr>
        <w:fldChar w:fldCharType="end"/>
      </w:r>
      <w:r>
        <w:rPr>
          <w:rFonts w:hint="eastAsia" w:ascii="方正小标宋_GBK" w:hAnsi="方正小标宋_GBK" w:eastAsia="方正小标宋_GBK" w:cs="方正小标宋_GBK"/>
          <w:szCs w:val="44"/>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0" w:leftChars="0" w:firstLine="420" w:firstLineChars="200"/>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_Toc10634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一、收入支出决算总表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_Toc31916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rPr>
        <w:t>二、收入决算表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_Toc1060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三、支出决算表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_Toc14676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四、财政拨款收入支出决算总表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_Toc3183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五、财政拨款支出决算明细总表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_Toc31434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六、一般公共预算财政拨款支出决算表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_Toc31141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七、一般公共预算财政拨款支出决算明细表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_Toc23676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八、一般公共预算财政拨款基本支出决算表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_Toc7728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九、一般公共预算财政拨款项目支出决算表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_Toc16664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十、政府性基金预算财政拨款收入支出决算表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_Toc27720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十一、国有资本经营预算财政拨款收入支出决算表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_Toc2860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十二、国有资本经营预算财政拨款支出决算表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sz w:val="21"/>
          <w:szCs w:val="21"/>
        </w:rPr>
      </w:pPr>
      <w:r>
        <w:rPr>
          <w:rFonts w:hint="eastAsia" w:ascii="方正小标宋_GBK" w:hAnsi="方正小标宋_GBK" w:eastAsia="方正小标宋_GBK" w:cs="方正小标宋_GBK"/>
          <w:sz w:val="21"/>
          <w:szCs w:val="21"/>
          <w:lang w:val="en-US" w:eastAsia="zh-CN"/>
        </w:rPr>
        <w:fldChar w:fldCharType="begin"/>
      </w:r>
      <w:r>
        <w:rPr>
          <w:rFonts w:hint="eastAsia" w:ascii="方正小标宋_GBK" w:hAnsi="方正小标宋_GBK" w:eastAsia="方正小标宋_GBK" w:cs="方正小标宋_GBK"/>
          <w:sz w:val="21"/>
          <w:szCs w:val="21"/>
          <w:lang w:val="en-US" w:eastAsia="zh-CN"/>
        </w:rPr>
        <w:instrText xml:space="preserve"> HYPERLINK \l _Toc30867 </w:instrText>
      </w:r>
      <w:r>
        <w:rPr>
          <w:rFonts w:hint="eastAsia" w:ascii="方正小标宋_GBK" w:hAnsi="方正小标宋_GBK" w:eastAsia="方正小标宋_GBK" w:cs="方正小标宋_GBK"/>
          <w:sz w:val="21"/>
          <w:szCs w:val="21"/>
          <w:lang w:val="en-US" w:eastAsia="zh-CN"/>
        </w:rPr>
        <w:fldChar w:fldCharType="separate"/>
      </w:r>
      <w:r>
        <w:rPr>
          <w:rFonts w:hint="eastAsia" w:ascii="黑体" w:hAnsi="黑体" w:eastAsia="黑体" w:cs="黑体"/>
          <w:sz w:val="21"/>
          <w:szCs w:val="21"/>
          <w:lang w:val="en-US" w:eastAsia="zh-CN"/>
        </w:rPr>
        <w:t>十三、一般公共预算财政拨款“三公”经费支出决算表</w:t>
      </w:r>
      <w:r>
        <w:rPr>
          <w:sz w:val="21"/>
          <w:szCs w:val="21"/>
        </w:rPr>
        <w:tab/>
      </w:r>
      <w:r>
        <w:rPr>
          <w:rFonts w:hint="eastAsia" w:ascii="方正小标宋_GBK" w:hAnsi="方正小标宋_GBK" w:eastAsia="方正小标宋_GBK" w:cs="方正小标宋_GBK"/>
          <w:sz w:val="21"/>
          <w:szCs w:val="21"/>
          <w:lang w:val="en-US" w:eastAsia="zh-CN"/>
        </w:rPr>
        <w:fldChar w:fldCharType="end"/>
      </w:r>
    </w:p>
    <w:p>
      <w:pPr>
        <w:pStyle w:val="2"/>
        <w:keepNext w:val="0"/>
        <w:keepLines w:val="0"/>
        <w:pageBreakBefore w:val="0"/>
        <w:numPr>
          <w:ilvl w:val="0"/>
          <w:numId w:val="0"/>
        </w:numPr>
        <w:kinsoku/>
        <w:wordWrap/>
        <w:overflowPunct/>
        <w:topLinePunct w:val="0"/>
        <w:autoSpaceDE/>
        <w:autoSpaceDN/>
        <w:bidi w:val="0"/>
        <w:adjustRightInd/>
        <w:snapToGrid/>
        <w:spacing w:beforeLines="0" w:line="240" w:lineRule="auto"/>
        <w:jc w:val="both"/>
        <w:textAlignment w:val="auto"/>
        <w:rPr>
          <w:rFonts w:hint="eastAsia" w:ascii="方正小标宋_GBK" w:hAnsi="方正小标宋_GBK" w:eastAsia="方正小标宋_GBK" w:cs="方正小标宋_GBK"/>
          <w:sz w:val="44"/>
          <w:szCs w:val="44"/>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方正小标宋_GBK" w:hAnsi="方正小标宋_GBK" w:eastAsia="方正小标宋_GBK" w:cs="方正小标宋_GBK"/>
          <w:szCs w:val="44"/>
          <w:lang w:val="en-US" w:eastAsia="zh-CN"/>
        </w:rPr>
        <w:fldChar w:fldCharType="end"/>
      </w:r>
    </w:p>
    <w:p>
      <w:pPr>
        <w:pStyle w:val="2"/>
        <w:numPr>
          <w:ilvl w:val="0"/>
          <w:numId w:val="0"/>
        </w:numPr>
        <w:jc w:val="center"/>
        <w:outlineLvl w:val="0"/>
        <w:rPr>
          <w:rFonts w:hint="eastAsia" w:ascii="方正小标宋_GBK" w:hAnsi="方正小标宋_GBK" w:eastAsia="方正小标宋_GBK" w:cs="方正小标宋_GBK"/>
          <w:sz w:val="44"/>
          <w:szCs w:val="44"/>
          <w:lang w:val="en-US" w:eastAsia="zh-CN"/>
        </w:rPr>
      </w:pPr>
      <w:bookmarkStart w:id="0" w:name="_Toc2853"/>
      <w:r>
        <w:rPr>
          <w:rFonts w:hint="eastAsia" w:ascii="方正小标宋_GBK" w:hAnsi="方正小标宋_GBK" w:eastAsia="方正小标宋_GBK" w:cs="方正小标宋_GBK"/>
          <w:sz w:val="44"/>
          <w:szCs w:val="44"/>
          <w:lang w:val="en-US" w:eastAsia="zh-CN"/>
        </w:rPr>
        <w:t>第一部分 单位概况</w:t>
      </w:r>
      <w:bookmarkEnd w:id="0"/>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bookmarkStart w:id="1" w:name="_Toc23544"/>
      <w:bookmarkStart w:id="2" w:name="_Toc27786"/>
      <w:bookmarkStart w:id="3" w:name="_Toc18969"/>
      <w:bookmarkStart w:id="4" w:name="_Toc114240524"/>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eastAsia="zh-CN"/>
        </w:rPr>
      </w:pPr>
      <w:bookmarkStart w:id="5" w:name="_Toc3812"/>
      <w:r>
        <w:rPr>
          <w:rFonts w:hint="eastAsia" w:ascii="黑体" w:hAnsi="黑体" w:eastAsia="黑体" w:cs="黑体"/>
          <w:sz w:val="32"/>
          <w:szCs w:val="32"/>
        </w:rPr>
        <w:t>一、</w:t>
      </w:r>
      <w:bookmarkEnd w:id="1"/>
      <w:bookmarkEnd w:id="2"/>
      <w:bookmarkEnd w:id="3"/>
      <w:bookmarkEnd w:id="4"/>
      <w:bookmarkEnd w:id="5"/>
      <w:r>
        <w:rPr>
          <w:rFonts w:hint="eastAsia" w:ascii="黑体" w:hAnsi="黑体" w:eastAsia="黑体" w:cs="黑体"/>
          <w:sz w:val="32"/>
          <w:szCs w:val="32"/>
          <w:lang w:eastAsia="zh-CN"/>
        </w:rPr>
        <w:t>主要职责</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_GB2312" w:eastAsia="仿宋_GB2312"/>
          <w:sz w:val="32"/>
          <w:szCs w:val="32"/>
        </w:rPr>
      </w:pPr>
      <w:bookmarkStart w:id="6" w:name="_Toc28211"/>
      <w:bookmarkStart w:id="7" w:name="_Toc8161"/>
      <w:bookmarkStart w:id="8" w:name="_Toc23912"/>
      <w:bookmarkStart w:id="9" w:name="_Toc10730"/>
      <w:bookmarkStart w:id="10" w:name="_Toc30780"/>
      <w:r>
        <w:rPr>
          <w:rFonts w:hint="eastAsia" w:ascii="仿宋_GB2312" w:eastAsia="仿宋_GB2312"/>
          <w:sz w:val="32"/>
          <w:szCs w:val="32"/>
        </w:rPr>
        <w:t>本单位全名四川省学生资助管理中心，是教育厅直属的公益一类事业单位。主要</w:t>
      </w:r>
      <w:r>
        <w:rPr>
          <w:rFonts w:hint="eastAsia" w:ascii="仿宋_GB2312" w:eastAsia="仿宋_GB2312"/>
          <w:sz w:val="32"/>
          <w:szCs w:val="32"/>
          <w:lang w:eastAsia="zh-CN"/>
        </w:rPr>
        <w:t>职责</w:t>
      </w:r>
      <w:r>
        <w:rPr>
          <w:rFonts w:hint="eastAsia" w:ascii="仿宋_GB2312" w:eastAsia="仿宋_GB2312"/>
          <w:sz w:val="32"/>
          <w:szCs w:val="32"/>
        </w:rPr>
        <w:t>包括：一是为机关提供支撑保障的职能：贯彻执行国家和省有关学生资助的法律法规政策标准，参与拟订全省学生资助工作管理办法；承担全省学生资助管理信息系统建设和管理，收集处理资助工作信息；承担全省学生资助资金管理和省内外资贷款教育项目的执行工作；协助开展全省学生资助管理机构的指导、监督工作，承担全省学生资助业务培训工作；承担义务教育免费教科书采购工作。二是面向社会提供公益服务的职能：开展学生资助政策宣传和资助育人工作。三是完成教育厅交办的其他任务。</w:t>
      </w:r>
      <w:bookmarkEnd w:id="6"/>
      <w:bookmarkEnd w:id="7"/>
      <w:bookmarkEnd w:id="8"/>
      <w:bookmarkEnd w:id="9"/>
      <w:bookmarkEnd w:id="10"/>
    </w:p>
    <w:p>
      <w:pPr>
        <w:pStyle w:val="2"/>
        <w:keepNext w:val="0"/>
        <w:keepLines w:val="0"/>
        <w:pageBreakBefore w:val="0"/>
        <w:widowControl w:val="0"/>
        <w:numPr>
          <w:ilvl w:val="0"/>
          <w:numId w:val="1"/>
        </w:numPr>
        <w:kinsoku/>
        <w:wordWrap/>
        <w:overflowPunct/>
        <w:autoSpaceDE/>
        <w:autoSpaceDN/>
        <w:bidi w:val="0"/>
        <w:adjustRightInd/>
        <w:snapToGrid/>
        <w:spacing w:line="600" w:lineRule="exact"/>
        <w:ind w:left="600" w:leftChars="0" w:firstLine="0" w:firstLineChars="0"/>
        <w:jc w:val="both"/>
        <w:textAlignment w:val="auto"/>
        <w:outlineLvl w:val="1"/>
        <w:rPr>
          <w:rFonts w:hint="eastAsia" w:ascii="黑体" w:hAnsi="黑体" w:eastAsia="黑体" w:cs="黑体"/>
          <w:kern w:val="2"/>
          <w:sz w:val="32"/>
          <w:szCs w:val="32"/>
          <w:lang w:val="en-US" w:eastAsia="zh-CN" w:bidi="ar-SA"/>
        </w:rPr>
      </w:pPr>
      <w:bookmarkStart w:id="11" w:name="_Toc18546"/>
      <w:r>
        <w:rPr>
          <w:rFonts w:hint="eastAsia" w:ascii="黑体" w:hAnsi="黑体" w:eastAsia="黑体" w:cs="黑体"/>
          <w:kern w:val="2"/>
          <w:sz w:val="32"/>
          <w:szCs w:val="32"/>
          <w:lang w:val="en-US" w:eastAsia="zh-CN" w:bidi="ar-SA"/>
        </w:rPr>
        <w:t>机构设置</w:t>
      </w:r>
      <w:bookmarkEnd w:id="11"/>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eastAsia="仿宋_GB2312"/>
          <w:lang w:eastAsia="zh-CN"/>
        </w:rPr>
      </w:pPr>
      <w:r>
        <w:rPr>
          <w:rFonts w:hint="eastAsia" w:ascii="仿宋_GB2312" w:eastAsia="仿宋_GB2312"/>
          <w:sz w:val="32"/>
          <w:szCs w:val="32"/>
          <w:lang w:eastAsia="zh-CN"/>
        </w:rPr>
        <w:t>本单位隶属于四川省教育厅的二级预算单位，</w:t>
      </w:r>
      <w:r>
        <w:rPr>
          <w:rFonts w:hint="eastAsia" w:ascii="仿宋_GB2312" w:eastAsia="仿宋_GB2312"/>
          <w:sz w:val="32"/>
          <w:szCs w:val="32"/>
        </w:rPr>
        <w:t>根据学生资助工作的特点内设</w:t>
      </w:r>
      <w:r>
        <w:rPr>
          <w:rFonts w:hint="eastAsia" w:ascii="仿宋_GB2312" w:eastAsia="仿宋_GB2312"/>
          <w:sz w:val="32"/>
          <w:szCs w:val="32"/>
          <w:lang w:val="en-US" w:eastAsia="zh-CN"/>
        </w:rPr>
        <w:t>3</w:t>
      </w:r>
      <w:r>
        <w:rPr>
          <w:rFonts w:hint="eastAsia" w:ascii="仿宋_GB2312" w:eastAsia="仿宋_GB2312"/>
          <w:sz w:val="32"/>
          <w:szCs w:val="32"/>
        </w:rPr>
        <w:t>个科室，分别是</w:t>
      </w:r>
      <w:r>
        <w:rPr>
          <w:rFonts w:hint="eastAsia" w:ascii="仿宋_GB2312" w:eastAsia="仿宋_GB2312"/>
          <w:sz w:val="32"/>
          <w:szCs w:val="32"/>
          <w:lang w:val="en-US" w:eastAsia="zh-CN"/>
        </w:rPr>
        <w:t>:</w:t>
      </w:r>
      <w:r>
        <w:rPr>
          <w:rFonts w:hint="eastAsia" w:ascii="仿宋_GB2312" w:eastAsia="仿宋_GB2312"/>
          <w:sz w:val="32"/>
          <w:szCs w:val="32"/>
          <w:lang w:eastAsia="zh-CN"/>
        </w:rPr>
        <w:t>办公室</w:t>
      </w:r>
      <w:r>
        <w:rPr>
          <w:rFonts w:hint="eastAsia" w:ascii="仿宋_GB2312" w:eastAsia="仿宋_GB2312"/>
          <w:sz w:val="32"/>
          <w:szCs w:val="32"/>
        </w:rPr>
        <w:t>、</w:t>
      </w:r>
      <w:r>
        <w:rPr>
          <w:rFonts w:hint="eastAsia" w:ascii="仿宋_GB2312" w:eastAsia="仿宋_GB2312"/>
          <w:sz w:val="32"/>
          <w:szCs w:val="32"/>
          <w:lang w:eastAsia="zh-CN"/>
        </w:rPr>
        <w:t>高校学生资助科</w:t>
      </w:r>
      <w:r>
        <w:rPr>
          <w:rFonts w:hint="eastAsia" w:ascii="仿宋_GB2312" w:eastAsia="仿宋_GB2312"/>
          <w:sz w:val="32"/>
          <w:szCs w:val="32"/>
        </w:rPr>
        <w:t>、</w:t>
      </w:r>
      <w:r>
        <w:rPr>
          <w:rFonts w:hint="eastAsia" w:ascii="仿宋_GB2312" w:eastAsia="仿宋_GB2312"/>
          <w:sz w:val="32"/>
          <w:szCs w:val="32"/>
          <w:lang w:eastAsia="zh-CN"/>
        </w:rPr>
        <w:t>中小学学生资助科</w:t>
      </w:r>
      <w:r>
        <w:rPr>
          <w:rFonts w:hint="eastAsia" w:ascii="仿宋_GB2312" w:eastAsia="仿宋_GB2312"/>
          <w:sz w:val="32"/>
          <w:szCs w:val="32"/>
        </w:rPr>
        <w:t>。</w:t>
      </w:r>
      <w:r>
        <w:rPr>
          <w:rFonts w:hint="eastAsia" w:ascii="仿宋_GB2312" w:eastAsia="仿宋_GB2312"/>
          <w:sz w:val="32"/>
          <w:szCs w:val="32"/>
          <w:lang w:eastAsia="zh-CN"/>
        </w:rPr>
        <w:t>本单位无下属预算单位。</w:t>
      </w:r>
    </w:p>
    <w:p>
      <w:pPr>
        <w:pStyle w:val="2"/>
        <w:numPr>
          <w:ilvl w:val="0"/>
          <w:numId w:val="0"/>
        </w:numPr>
        <w:ind w:left="600" w:leftChars="0"/>
        <w:jc w:val="both"/>
        <w:rPr>
          <w:rFonts w:hint="default" w:ascii="黑体" w:hAnsi="黑体" w:eastAsia="黑体" w:cs="黑体"/>
          <w:kern w:val="2"/>
          <w:sz w:val="32"/>
          <w:szCs w:val="32"/>
          <w:lang w:val="en-US" w:eastAsia="zh-CN" w:bidi="ar-SA"/>
        </w:rPr>
      </w:pPr>
    </w:p>
    <w:p>
      <w:pPr>
        <w:pStyle w:val="2"/>
        <w:numPr>
          <w:ilvl w:val="0"/>
          <w:numId w:val="0"/>
        </w:numPr>
        <w:ind w:left="600" w:leftChars="0"/>
        <w:jc w:val="both"/>
        <w:rPr>
          <w:rFonts w:hint="default" w:ascii="黑体" w:hAnsi="黑体" w:eastAsia="黑体" w:cs="黑体"/>
          <w:kern w:val="2"/>
          <w:sz w:val="32"/>
          <w:szCs w:val="32"/>
          <w:lang w:val="en-US" w:eastAsia="zh-CN" w:bidi="ar-SA"/>
        </w:rPr>
      </w:pPr>
    </w:p>
    <w:p>
      <w:pPr>
        <w:pStyle w:val="2"/>
        <w:numPr>
          <w:ilvl w:val="0"/>
          <w:numId w:val="0"/>
        </w:numPr>
        <w:ind w:left="600" w:leftChars="0"/>
        <w:jc w:val="both"/>
        <w:rPr>
          <w:rFonts w:hint="default" w:ascii="黑体" w:hAnsi="黑体" w:eastAsia="黑体" w:cs="黑体"/>
          <w:kern w:val="2"/>
          <w:sz w:val="32"/>
          <w:szCs w:val="32"/>
          <w:lang w:val="en-US" w:eastAsia="zh-CN" w:bidi="ar-SA"/>
        </w:rPr>
      </w:pPr>
    </w:p>
    <w:p>
      <w:pPr>
        <w:pStyle w:val="2"/>
        <w:numPr>
          <w:ilvl w:val="0"/>
          <w:numId w:val="0"/>
        </w:numPr>
        <w:ind w:firstLine="880" w:firstLineChars="200"/>
        <w:jc w:val="both"/>
        <w:outlineLvl w:val="0"/>
        <w:rPr>
          <w:rFonts w:hint="eastAsia" w:ascii="方正小标宋_GBK" w:hAnsi="方正小标宋_GBK" w:eastAsia="方正小标宋_GBK" w:cs="方正小标宋_GBK"/>
          <w:bCs/>
          <w:sz w:val="44"/>
          <w:szCs w:val="44"/>
        </w:rPr>
      </w:pPr>
      <w:bookmarkStart w:id="12" w:name="_Toc23383"/>
      <w:r>
        <w:rPr>
          <w:rFonts w:hint="eastAsia" w:ascii="方正小标宋_GBK" w:hAnsi="方正小标宋_GBK" w:eastAsia="方正小标宋_GBK" w:cs="方正小标宋_GBK"/>
          <w:sz w:val="44"/>
          <w:szCs w:val="44"/>
          <w:lang w:val="en-US" w:eastAsia="zh-CN"/>
        </w:rPr>
        <w:t>第二部分 2023年单位决算情况说明</w:t>
      </w:r>
      <w:bookmarkEnd w:id="12"/>
      <w:bookmarkStart w:id="13" w:name="_Toc28281"/>
      <w:bookmarkStart w:id="14" w:name="_Toc9111"/>
      <w:bookmarkStart w:id="15" w:name="_Toc114240527"/>
      <w:bookmarkStart w:id="16" w:name="_Toc25342"/>
      <w:bookmarkStart w:id="17" w:name="_Toc9934"/>
    </w:p>
    <w:p>
      <w:pPr>
        <w:keepNext w:val="0"/>
        <w:keepLines w:val="0"/>
        <w:pageBreakBefore w:val="0"/>
        <w:widowControl w:val="0"/>
        <w:numPr>
          <w:ilvl w:val="0"/>
          <w:numId w:val="0"/>
        </w:numPr>
        <w:kinsoku/>
        <w:wordWrap/>
        <w:overflowPunct/>
        <w:topLinePunct/>
        <w:autoSpaceDE/>
        <w:autoSpaceDN/>
        <w:bidi w:val="0"/>
        <w:adjustRightInd/>
        <w:snapToGrid/>
        <w:spacing w:line="600" w:lineRule="exact"/>
        <w:textAlignment w:val="auto"/>
        <w:outlineLvl w:val="9"/>
        <w:rPr>
          <w:rFonts w:ascii="仿宋" w:hAnsi="仿宋" w:eastAsia="仿宋"/>
          <w:bCs/>
          <w:sz w:val="32"/>
          <w:szCs w:val="32"/>
        </w:rPr>
      </w:pPr>
    </w:p>
    <w:p>
      <w:pPr>
        <w:keepNext w:val="0"/>
        <w:keepLines w:val="0"/>
        <w:pageBreakBefore w:val="0"/>
        <w:widowControl w:val="0"/>
        <w:numPr>
          <w:ilvl w:val="0"/>
          <w:numId w:val="2"/>
        </w:numPr>
        <w:kinsoku/>
        <w:wordWrap/>
        <w:overflowPunct/>
        <w:topLinePunct/>
        <w:autoSpaceDE/>
        <w:autoSpaceDN/>
        <w:bidi w:val="0"/>
        <w:adjustRightInd/>
        <w:snapToGrid/>
        <w:spacing w:line="600" w:lineRule="exact"/>
        <w:ind w:firstLine="640" w:firstLineChars="200"/>
        <w:textAlignment w:val="auto"/>
        <w:outlineLvl w:val="1"/>
        <w:rPr>
          <w:rFonts w:ascii="仿宋" w:hAnsi="仿宋" w:eastAsia="仿宋"/>
          <w:bCs/>
          <w:sz w:val="32"/>
          <w:szCs w:val="32"/>
        </w:rPr>
      </w:pPr>
      <w:bookmarkStart w:id="18" w:name="_Toc31272"/>
      <w:r>
        <w:rPr>
          <w:rFonts w:hint="eastAsia" w:ascii="黑体" w:hAnsi="黑体" w:eastAsia="黑体" w:cs="黑体"/>
          <w:sz w:val="32"/>
          <w:szCs w:val="32"/>
        </w:rPr>
        <w:t>收入支出决算总体情况说明</w:t>
      </w:r>
      <w:bookmarkEnd w:id="13"/>
      <w:bookmarkEnd w:id="14"/>
      <w:bookmarkEnd w:id="15"/>
      <w:bookmarkEnd w:id="16"/>
      <w:bookmarkEnd w:id="17"/>
      <w:bookmarkEnd w:id="18"/>
    </w:p>
    <w:p>
      <w:pPr>
        <w:keepNext w:val="0"/>
        <w:keepLines w:val="0"/>
        <w:pageBreakBefore w:val="0"/>
        <w:widowControl w:val="0"/>
        <w:kinsoku/>
        <w:wordWrap/>
        <w:overflowPunct/>
        <w:topLinePunct/>
        <w:autoSpaceDE/>
        <w:autoSpaceDN/>
        <w:bidi w:val="0"/>
        <w:adjustRightInd/>
        <w:snapToGrid/>
        <w:spacing w:line="600" w:lineRule="exact"/>
        <w:ind w:firstLine="641"/>
        <w:textAlignment w:val="auto"/>
        <w:rPr>
          <w:rFonts w:hint="eastAsia" w:ascii="仿宋_GB2312" w:eastAsia="仿宋_GB2312"/>
          <w:sz w:val="32"/>
          <w:szCs w:val="32"/>
          <w:highlight w:val="none"/>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年度收入、支出总计均为</w:t>
      </w:r>
      <w:r>
        <w:rPr>
          <w:rFonts w:hint="eastAsia" w:ascii="仿宋_GB2312" w:eastAsia="仿宋_GB2312"/>
          <w:sz w:val="32"/>
          <w:szCs w:val="32"/>
          <w:lang w:val="en-US" w:eastAsia="zh-CN"/>
        </w:rPr>
        <w:t>295511.72</w:t>
      </w:r>
      <w:r>
        <w:rPr>
          <w:rFonts w:hint="eastAsia" w:ascii="仿宋_GB2312" w:eastAsia="仿宋_GB2312"/>
          <w:sz w:val="32"/>
          <w:szCs w:val="32"/>
        </w:rPr>
        <w:t>万元。与202</w:t>
      </w:r>
      <w:r>
        <w:rPr>
          <w:rFonts w:hint="eastAsia" w:ascii="仿宋_GB2312" w:eastAsia="仿宋_GB2312"/>
          <w:sz w:val="32"/>
          <w:szCs w:val="32"/>
          <w:lang w:val="en-US" w:eastAsia="zh-CN"/>
        </w:rPr>
        <w:t>2</w:t>
      </w:r>
      <w:r>
        <w:rPr>
          <w:rFonts w:hint="eastAsia" w:ascii="仿宋_GB2312" w:eastAsia="仿宋_GB2312"/>
          <w:sz w:val="32"/>
          <w:szCs w:val="32"/>
        </w:rPr>
        <w:t>年相比，收支各增加</w:t>
      </w:r>
      <w:r>
        <w:rPr>
          <w:rFonts w:hint="eastAsia" w:ascii="仿宋_GB2312" w:eastAsia="仿宋_GB2312"/>
          <w:sz w:val="32"/>
          <w:szCs w:val="32"/>
          <w:lang w:val="en-US" w:eastAsia="zh-CN"/>
        </w:rPr>
        <w:t>35751.33</w:t>
      </w:r>
      <w:r>
        <w:rPr>
          <w:rFonts w:hint="eastAsia" w:ascii="仿宋_GB2312" w:eastAsia="仿宋_GB2312"/>
          <w:sz w:val="32"/>
          <w:szCs w:val="32"/>
        </w:rPr>
        <w:t>万元，增长率为</w:t>
      </w:r>
      <w:r>
        <w:rPr>
          <w:rFonts w:hint="eastAsia" w:ascii="仿宋_GB2312" w:eastAsia="仿宋_GB2312"/>
          <w:sz w:val="32"/>
          <w:szCs w:val="32"/>
          <w:lang w:val="en-US" w:eastAsia="zh-CN"/>
        </w:rPr>
        <w:t>13.76</w:t>
      </w:r>
      <w:r>
        <w:rPr>
          <w:rFonts w:hint="eastAsia" w:ascii="仿宋_GB2312" w:eastAsia="仿宋_GB2312"/>
          <w:sz w:val="32"/>
          <w:szCs w:val="32"/>
        </w:rPr>
        <w:t>%，</w:t>
      </w:r>
      <w:r>
        <w:rPr>
          <w:rFonts w:hint="eastAsia" w:ascii="仿宋_GB2312" w:eastAsia="仿宋_GB2312"/>
          <w:sz w:val="32"/>
          <w:szCs w:val="32"/>
          <w:highlight w:val="none"/>
        </w:rPr>
        <w:t>主要</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rPr>
        <w:t>原因</w:t>
      </w:r>
      <w:r>
        <w:rPr>
          <w:rFonts w:hint="eastAsia" w:ascii="仿宋_GB2312" w:eastAsia="仿宋_GB2312"/>
          <w:sz w:val="32"/>
          <w:szCs w:val="32"/>
          <w:highlight w:val="none"/>
          <w:lang w:eastAsia="zh-CN"/>
        </w:rPr>
        <w:t>一是学生规模自然增长使受助学生人数及经费增加；二是在2019—2021年实施高职扩招政策（扩招对象主要为退役士兵），</w:t>
      </w:r>
      <w:r>
        <w:rPr>
          <w:rFonts w:hint="eastAsia" w:ascii="仿宋_GB2312" w:eastAsia="仿宋_GB2312"/>
          <w:sz w:val="32"/>
          <w:szCs w:val="32"/>
          <w:highlight w:val="none"/>
          <w:lang w:val="en-US" w:eastAsia="zh-CN"/>
        </w:rPr>
        <w:t>2023年高职扩招学生在校生达到顶峰，受助学生人数和经费大幅增加</w:t>
      </w:r>
      <w:r>
        <w:rPr>
          <w:rFonts w:hint="eastAsia" w:ascii="仿宋_GB2312" w:eastAsia="仿宋_GB2312"/>
          <w:sz w:val="32"/>
          <w:szCs w:val="32"/>
          <w:highlight w:val="none"/>
          <w:lang w:eastAsia="zh-CN"/>
        </w:rPr>
        <w:t>。</w:t>
      </w:r>
    </w:p>
    <w:p>
      <w:pPr>
        <w:pStyle w:val="2"/>
        <w:rPr>
          <w:rFonts w:hint="eastAsia"/>
          <w:sz w:val="32"/>
          <w:szCs w:val="32"/>
          <w:lang w:val="en-US" w:eastAsia="zh-CN"/>
        </w:rPr>
      </w:pPr>
      <w:r>
        <w:rPr>
          <w:rFonts w:hint="eastAsia"/>
          <w:sz w:val="32"/>
          <w:szCs w:val="32"/>
          <w:lang w:val="en-US" w:eastAsia="zh-CN"/>
        </w:rPr>
        <w:t xml:space="preserve">    </w:t>
      </w:r>
    </w:p>
    <w:p>
      <w:pPr>
        <w:pStyle w:val="2"/>
      </w:pPr>
      <w:r>
        <w:rPr>
          <w:rFonts w:hint="eastAsia"/>
          <w:sz w:val="32"/>
          <w:szCs w:val="32"/>
          <w:lang w:val="en-US" w:eastAsia="zh-CN"/>
        </w:rPr>
        <w:t xml:space="preserve">      </w:t>
      </w:r>
      <w:r>
        <w:drawing>
          <wp:inline distT="0" distB="0" distL="114300" distR="114300">
            <wp:extent cx="4572000" cy="2971800"/>
            <wp:effectExtent l="0" t="0" r="0" b="0"/>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rPr>
          <w:rFonts w:hint="eastAsia" w:ascii="仿宋" w:hAnsi="仿宋" w:eastAsia="仿宋"/>
          <w:color w:val="auto"/>
          <w:sz w:val="28"/>
          <w:szCs w:val="28"/>
          <w:highlight w:val="none"/>
          <w:lang w:eastAsia="zh-CN"/>
        </w:rPr>
      </w:pPr>
      <w:r>
        <w:rPr>
          <w:rFonts w:hint="eastAsia"/>
          <w:lang w:val="en-US" w:eastAsia="zh-CN"/>
        </w:rPr>
        <w:t xml:space="preserve">         </w:t>
      </w:r>
      <w:r>
        <w:rPr>
          <w:rFonts w:hint="eastAsia"/>
          <w:sz w:val="28"/>
          <w:szCs w:val="28"/>
          <w:lang w:val="en-US" w:eastAsia="zh-CN"/>
        </w:rPr>
        <w:t xml:space="preserve">  </w:t>
      </w:r>
      <w:r>
        <w:rPr>
          <w:rFonts w:hint="eastAsia" w:ascii="仿宋" w:hAnsi="仿宋" w:eastAsia="仿宋"/>
          <w:color w:val="auto"/>
          <w:sz w:val="28"/>
          <w:szCs w:val="28"/>
          <w:highlight w:val="none"/>
        </w:rPr>
        <w:t>图</w:t>
      </w:r>
      <w:r>
        <w:rPr>
          <w:rFonts w:ascii="仿宋" w:hAnsi="仿宋" w:eastAsia="仿宋"/>
          <w:color w:val="auto"/>
          <w:sz w:val="28"/>
          <w:szCs w:val="28"/>
          <w:highlight w:val="none"/>
        </w:rPr>
        <w:t>1</w:t>
      </w:r>
      <w:r>
        <w:rPr>
          <w:rFonts w:hint="eastAsia" w:ascii="仿宋" w:hAnsi="仿宋" w:eastAsia="仿宋"/>
          <w:color w:val="auto"/>
          <w:sz w:val="28"/>
          <w:szCs w:val="28"/>
          <w:highlight w:val="none"/>
        </w:rPr>
        <w:t>：收、支决算总计变动情况图</w:t>
      </w:r>
      <w:r>
        <w:rPr>
          <w:rFonts w:hint="eastAsia" w:ascii="仿宋" w:hAnsi="仿宋" w:eastAsia="仿宋"/>
          <w:color w:val="auto"/>
          <w:sz w:val="28"/>
          <w:szCs w:val="28"/>
          <w:highlight w:val="none"/>
          <w:lang w:eastAsia="zh-CN"/>
        </w:rPr>
        <w:t>（单位：万元）</w:t>
      </w:r>
    </w:p>
    <w:p>
      <w:pPr>
        <w:pStyle w:val="13"/>
        <w:numPr>
          <w:ilvl w:val="0"/>
          <w:numId w:val="0"/>
        </w:numPr>
        <w:spacing w:line="600" w:lineRule="exact"/>
        <w:ind w:left="640" w:leftChars="0"/>
        <w:outlineLvl w:val="1"/>
        <w:rPr>
          <w:rFonts w:hint="eastAsia" w:ascii="黑体" w:hAnsi="黑体" w:eastAsia="黑体" w:cs="黑体"/>
          <w:kern w:val="2"/>
          <w:sz w:val="32"/>
          <w:szCs w:val="32"/>
          <w:lang w:val="en-US" w:eastAsia="zh-CN" w:bidi="ar-SA"/>
        </w:rPr>
      </w:pPr>
      <w:bookmarkStart w:id="19" w:name="_Toc5284"/>
      <w:bookmarkStart w:id="20" w:name="_Toc15377206"/>
      <w:bookmarkStart w:id="21" w:name="_Toc15396604"/>
      <w:r>
        <w:rPr>
          <w:rFonts w:hint="eastAsia" w:ascii="黑体" w:hAnsi="黑体" w:eastAsia="黑体" w:cs="黑体"/>
          <w:kern w:val="2"/>
          <w:sz w:val="32"/>
          <w:szCs w:val="32"/>
          <w:lang w:val="en-US" w:eastAsia="zh-CN" w:bidi="ar-SA"/>
        </w:rPr>
        <w:t>二、收入决算情况说明</w:t>
      </w:r>
      <w:bookmarkEnd w:id="19"/>
      <w:bookmarkEnd w:id="20"/>
      <w:bookmarkEnd w:id="21"/>
    </w:p>
    <w:p>
      <w:pPr>
        <w:keepNext w:val="0"/>
        <w:keepLines w:val="0"/>
        <w:pageBreakBefore w:val="0"/>
        <w:kinsoku/>
        <w:wordWrap/>
        <w:overflowPunct/>
        <w:topLinePunct w:val="0"/>
        <w:bidi w:val="0"/>
        <w:snapToGrid/>
        <w:spacing w:line="560" w:lineRule="exact"/>
        <w:ind w:left="0" w:right="0" w:firstLine="640" w:firstLineChars="200"/>
        <w:jc w:val="left"/>
        <w:outlineLvl w:val="1"/>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2023年度本年收入合计：295511.72万元，其中：一般公共预算财政拨款收入</w:t>
      </w:r>
      <w:r>
        <w:rPr>
          <w:rFonts w:hint="eastAsia" w:ascii="仿宋_GB2312" w:eastAsia="仿宋_GB2312" w:cs="Times New Roman"/>
          <w:kern w:val="2"/>
          <w:sz w:val="32"/>
          <w:szCs w:val="32"/>
          <w:lang w:val="en-US" w:eastAsia="zh-CN" w:bidi="ar-SA"/>
        </w:rPr>
        <w:t>295111.72</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100</w:t>
      </w:r>
      <w:r>
        <w:rPr>
          <w:rFonts w:hint="eastAsia" w:ascii="仿宋_GB2312" w:hAnsi="Calibri" w:eastAsia="仿宋_GB2312" w:cs="Times New Roman"/>
          <w:kern w:val="2"/>
          <w:sz w:val="32"/>
          <w:szCs w:val="32"/>
          <w:lang w:val="en-US" w:eastAsia="zh-CN" w:bidi="ar-SA"/>
        </w:rPr>
        <w:t>%；政府性基金预算财政拨款收入</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%；国有资本经营预算财政拨款收入</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%；上级补助收入</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%；事业收入</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%；经营收入</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%；附属单位上缴收入</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%；其他收入</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万元，占</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w:t>
      </w:r>
    </w:p>
    <w:p>
      <w:pPr>
        <w:pStyle w:val="2"/>
        <w:ind w:firstLine="640" w:firstLineChars="200"/>
      </w:pPr>
      <w:r>
        <w:rPr>
          <w:rFonts w:hint="eastAsia" w:cs="Times New Roman"/>
          <w:kern w:val="2"/>
          <w:sz w:val="32"/>
          <w:szCs w:val="32"/>
          <w:lang w:val="en-US" w:eastAsia="zh-CN" w:bidi="ar-SA"/>
        </w:rPr>
        <w:t xml:space="preserve">    </w:t>
      </w:r>
      <w:r>
        <w:drawing>
          <wp:inline distT="0" distB="0" distL="114300" distR="114300">
            <wp:extent cx="3848100" cy="2324100"/>
            <wp:effectExtent l="6350" t="6350" r="12700" b="12700"/>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cs="Times New Roman"/>
          <w:kern w:val="2"/>
          <w:sz w:val="32"/>
          <w:szCs w:val="32"/>
          <w:lang w:val="en-US" w:eastAsia="zh-CN" w:bidi="ar-SA"/>
        </w:rPr>
        <w:t xml:space="preserve"> </w:t>
      </w:r>
    </w:p>
    <w:p>
      <w:pPr>
        <w:pStyle w:val="2"/>
        <w:ind w:firstLine="2240" w:firstLineChars="8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图</w:t>
      </w:r>
      <w:r>
        <w:rPr>
          <w:rFonts w:hint="eastAsia" w:ascii="仿宋" w:hAnsi="仿宋" w:eastAsia="仿宋"/>
          <w:color w:val="auto"/>
          <w:sz w:val="28"/>
          <w:szCs w:val="28"/>
          <w:highlight w:val="none"/>
          <w:lang w:val="en-US" w:eastAsia="zh-CN"/>
        </w:rPr>
        <w:t>2：收入决算结构图（单位：万元）</w:t>
      </w:r>
    </w:p>
    <w:p>
      <w:pPr>
        <w:pStyle w:val="2"/>
        <w:numPr>
          <w:ilvl w:val="0"/>
          <w:numId w:val="0"/>
        </w:numPr>
        <w:ind w:leftChars="200"/>
        <w:outlineLvl w:val="1"/>
        <w:rPr>
          <w:rFonts w:hint="eastAsia" w:ascii="黑体" w:hAnsi="黑体" w:eastAsia="黑体" w:cs="黑体"/>
          <w:kern w:val="2"/>
          <w:sz w:val="32"/>
          <w:szCs w:val="32"/>
          <w:lang w:val="en-US" w:eastAsia="zh-CN" w:bidi="ar-SA"/>
        </w:rPr>
      </w:pPr>
      <w:bookmarkStart w:id="22" w:name="_Toc10261"/>
      <w:r>
        <w:rPr>
          <w:rFonts w:hint="eastAsia" w:ascii="黑体" w:hAnsi="黑体" w:eastAsia="黑体" w:cs="黑体"/>
          <w:kern w:val="2"/>
          <w:sz w:val="32"/>
          <w:szCs w:val="32"/>
          <w:lang w:val="en-US" w:eastAsia="zh-CN" w:bidi="ar-SA"/>
        </w:rPr>
        <w:t>三、支出决算情况说明</w:t>
      </w:r>
      <w:bookmarkEnd w:id="22"/>
    </w:p>
    <w:p>
      <w:pPr>
        <w:keepNext w:val="0"/>
        <w:keepLines w:val="0"/>
        <w:pageBreakBefore w:val="0"/>
        <w:kinsoku/>
        <w:wordWrap/>
        <w:overflowPunct/>
        <w:topLinePunct w:val="0"/>
        <w:bidi w:val="0"/>
        <w:snapToGrid/>
        <w:spacing w:line="560" w:lineRule="exact"/>
        <w:ind w:left="0" w:right="0" w:firstLine="640" w:firstLineChars="200"/>
        <w:jc w:val="left"/>
        <w:outlineLvl w:val="1"/>
        <w:rPr>
          <w:rFonts w:hint="eastAsia"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2023年度本年支出算合计295511.72万元，其中基本支488.52万元，占比0.17%；项目支出295023.2万元，占比99.83%上缴上级支出0万元，占0%；经营支出0万元，占0%；对附属单位补助支出0万元，占0%</w:t>
      </w:r>
      <w:r>
        <w:rPr>
          <w:rFonts w:hint="eastAsia" w:cs="Times New Roman"/>
          <w:kern w:val="2"/>
          <w:sz w:val="32"/>
          <w:szCs w:val="32"/>
          <w:lang w:val="en-US" w:eastAsia="zh-CN" w:bidi="ar-SA"/>
        </w:rPr>
        <w:t>。</w:t>
      </w:r>
    </w:p>
    <w:p>
      <w:pPr>
        <w:pStyle w:val="2"/>
        <w:numPr>
          <w:ilvl w:val="0"/>
          <w:numId w:val="0"/>
        </w:numPr>
        <w:ind w:firstLine="640" w:firstLineChars="200"/>
        <w:rPr>
          <w:rFonts w:hint="eastAsia" w:cs="Times New Roman"/>
          <w:kern w:val="2"/>
          <w:sz w:val="32"/>
          <w:szCs w:val="32"/>
          <w:lang w:val="en-US" w:eastAsia="zh-CN" w:bidi="ar-SA"/>
        </w:rPr>
      </w:pPr>
    </w:p>
    <w:p>
      <w:pPr>
        <w:pStyle w:val="2"/>
        <w:numPr>
          <w:ilvl w:val="0"/>
          <w:numId w:val="0"/>
        </w:numPr>
        <w:ind w:firstLine="640" w:firstLineChars="200"/>
        <w:rPr>
          <w:rFonts w:hint="eastAsia" w:cs="Times New Roman"/>
          <w:kern w:val="2"/>
          <w:sz w:val="32"/>
          <w:szCs w:val="32"/>
          <w:lang w:val="en-US" w:eastAsia="zh-CN" w:bidi="ar-SA"/>
        </w:rPr>
      </w:pPr>
    </w:p>
    <w:p>
      <w:pPr>
        <w:pStyle w:val="2"/>
        <w:numPr>
          <w:ilvl w:val="0"/>
          <w:numId w:val="0"/>
        </w:numPr>
      </w:pPr>
      <w:r>
        <w:rPr>
          <w:rFonts w:hint="eastAsia"/>
          <w:lang w:val="en-US" w:eastAsia="zh-CN"/>
        </w:rPr>
        <w:t xml:space="preserve">         </w:t>
      </w:r>
      <w:r>
        <w:drawing>
          <wp:inline distT="0" distB="0" distL="114300" distR="114300">
            <wp:extent cx="4114800" cy="2152650"/>
            <wp:effectExtent l="4445" t="4445" r="14605" b="1460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numPr>
          <w:ilvl w:val="0"/>
          <w:numId w:val="0"/>
        </w:numPr>
        <w:rPr>
          <w:rFonts w:hint="eastAsia" w:ascii="仿宋" w:hAnsi="仿宋" w:eastAsia="仿宋"/>
          <w:color w:val="auto"/>
          <w:sz w:val="28"/>
          <w:szCs w:val="28"/>
          <w:highlight w:val="none"/>
          <w:lang w:val="en-US" w:eastAsia="zh-CN"/>
        </w:rPr>
      </w:pPr>
      <w:r>
        <w:rPr>
          <w:rFonts w:hint="eastAsia"/>
          <w:lang w:val="en-US" w:eastAsia="zh-CN"/>
        </w:rPr>
        <w:t xml:space="preserve">             </w:t>
      </w:r>
      <w:r>
        <w:rPr>
          <w:rFonts w:hint="eastAsia" w:ascii="仿宋" w:hAnsi="仿宋" w:eastAsia="仿宋"/>
          <w:color w:val="auto"/>
          <w:sz w:val="28"/>
          <w:szCs w:val="28"/>
          <w:highlight w:val="none"/>
          <w:lang w:val="en-US" w:eastAsia="zh-CN"/>
        </w:rPr>
        <w:t xml:space="preserve"> 图3：支出决算结构图（单位：万元）</w:t>
      </w:r>
    </w:p>
    <w:p>
      <w:pPr>
        <w:pStyle w:val="2"/>
        <w:numPr>
          <w:ilvl w:val="0"/>
          <w:numId w:val="0"/>
        </w:numPr>
        <w:ind w:left="600" w:leftChars="0"/>
        <w:outlineLvl w:val="1"/>
        <w:rPr>
          <w:rFonts w:hint="eastAsia" w:ascii="黑体" w:hAnsi="黑体" w:eastAsia="黑体" w:cs="黑体"/>
          <w:kern w:val="2"/>
          <w:sz w:val="32"/>
          <w:szCs w:val="32"/>
          <w:lang w:val="en-US" w:eastAsia="zh-CN" w:bidi="ar-SA"/>
        </w:rPr>
      </w:pPr>
      <w:bookmarkStart w:id="23" w:name="_Toc11778"/>
      <w:r>
        <w:rPr>
          <w:rFonts w:hint="eastAsia" w:ascii="黑体" w:hAnsi="黑体" w:eastAsia="黑体" w:cs="黑体"/>
          <w:kern w:val="2"/>
          <w:sz w:val="32"/>
          <w:szCs w:val="32"/>
          <w:lang w:val="en-US" w:eastAsia="zh-CN" w:bidi="ar-SA"/>
        </w:rPr>
        <w:t>四、财政拨款收入支出决算总体情况说明</w:t>
      </w:r>
      <w:bookmarkEnd w:id="23"/>
    </w:p>
    <w:p>
      <w:pPr>
        <w:keepNext w:val="0"/>
        <w:keepLines w:val="0"/>
        <w:pageBreakBefore w:val="0"/>
        <w:widowControl w:val="0"/>
        <w:kinsoku/>
        <w:wordWrap/>
        <w:overflowPunct/>
        <w:topLinePunct/>
        <w:autoSpaceDE/>
        <w:autoSpaceDN/>
        <w:bidi w:val="0"/>
        <w:adjustRightInd/>
        <w:snapToGrid/>
        <w:spacing w:line="600" w:lineRule="exact"/>
        <w:ind w:firstLine="641"/>
        <w:textAlignment w:val="auto"/>
        <w:rPr>
          <w:rFonts w:hint="eastAsia" w:ascii="仿宋_GB2312" w:eastAsia="仿宋_GB2312"/>
          <w:sz w:val="32"/>
          <w:szCs w:val="32"/>
          <w:highlight w:val="none"/>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财政拨款</w:t>
      </w:r>
      <w:r>
        <w:rPr>
          <w:rFonts w:hint="eastAsia" w:ascii="仿宋_GB2312" w:eastAsia="仿宋_GB2312"/>
          <w:sz w:val="32"/>
          <w:szCs w:val="32"/>
        </w:rPr>
        <w:t>收入、支出总计均为</w:t>
      </w:r>
      <w:r>
        <w:rPr>
          <w:rFonts w:hint="eastAsia" w:ascii="仿宋_GB2312" w:hAnsi="仿宋_GB2312" w:eastAsia="仿宋_GB2312" w:cs="仿宋_GB2312"/>
          <w:kern w:val="2"/>
          <w:sz w:val="32"/>
          <w:szCs w:val="32"/>
          <w:lang w:val="en-US" w:eastAsia="zh-CN" w:bidi="ar-SA"/>
        </w:rPr>
        <w:t>295511.72</w:t>
      </w:r>
      <w:r>
        <w:rPr>
          <w:rFonts w:hint="eastAsia" w:ascii="仿宋_GB2312" w:eastAsia="仿宋_GB2312"/>
          <w:sz w:val="32"/>
          <w:szCs w:val="32"/>
        </w:rPr>
        <w:t>万元。</w:t>
      </w:r>
      <w:r>
        <w:rPr>
          <w:rFonts w:hint="eastAsia" w:ascii="仿宋_GB2312" w:eastAsia="仿宋_GB2312"/>
          <w:sz w:val="32"/>
          <w:szCs w:val="32"/>
          <w:highlight w:val="none"/>
        </w:rPr>
        <w:t>与202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年相比，收支各增加</w:t>
      </w:r>
      <w:r>
        <w:rPr>
          <w:rFonts w:hint="eastAsia" w:ascii="仿宋_GB2312" w:eastAsia="仿宋_GB2312"/>
          <w:sz w:val="32"/>
          <w:szCs w:val="32"/>
          <w:highlight w:val="none"/>
          <w:lang w:val="en-US" w:eastAsia="zh-CN"/>
        </w:rPr>
        <w:t>35751.33</w:t>
      </w:r>
      <w:r>
        <w:rPr>
          <w:rFonts w:hint="eastAsia" w:ascii="仿宋_GB2312" w:eastAsia="仿宋_GB2312"/>
          <w:sz w:val="32"/>
          <w:szCs w:val="32"/>
          <w:highlight w:val="none"/>
        </w:rPr>
        <w:t>万元，增长率</w:t>
      </w:r>
      <w:r>
        <w:rPr>
          <w:rFonts w:hint="eastAsia" w:ascii="仿宋_GB2312" w:eastAsia="仿宋_GB2312"/>
          <w:sz w:val="32"/>
          <w:szCs w:val="32"/>
          <w:highlight w:val="none"/>
          <w:lang w:eastAsia="zh-CN"/>
        </w:rPr>
        <w:t>约</w:t>
      </w:r>
      <w:r>
        <w:rPr>
          <w:rFonts w:hint="eastAsia" w:ascii="仿宋_GB2312" w:eastAsia="仿宋_GB2312"/>
          <w:sz w:val="32"/>
          <w:szCs w:val="32"/>
          <w:highlight w:val="none"/>
        </w:rPr>
        <w:t>为</w:t>
      </w:r>
      <w:r>
        <w:rPr>
          <w:rFonts w:hint="eastAsia" w:ascii="仿宋_GB2312" w:eastAsia="仿宋_GB2312"/>
          <w:sz w:val="32"/>
          <w:szCs w:val="32"/>
          <w:highlight w:val="none"/>
          <w:lang w:val="en-US" w:eastAsia="zh-CN"/>
        </w:rPr>
        <w:t>13.763</w:t>
      </w:r>
      <w:r>
        <w:rPr>
          <w:rFonts w:hint="eastAsia" w:ascii="仿宋_GB2312" w:eastAsia="仿宋_GB2312"/>
          <w:sz w:val="32"/>
          <w:szCs w:val="32"/>
          <w:highlight w:val="none"/>
        </w:rPr>
        <w:t>%，主要</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rPr>
        <w:t>原因</w:t>
      </w:r>
      <w:r>
        <w:rPr>
          <w:rFonts w:hint="eastAsia" w:ascii="仿宋_GB2312" w:eastAsia="仿宋_GB2312"/>
          <w:sz w:val="32"/>
          <w:szCs w:val="32"/>
          <w:highlight w:val="none"/>
          <w:lang w:eastAsia="zh-CN"/>
        </w:rPr>
        <w:t>一是学生规模自然增长使受助学生人数及经费增加；二是在2019—2021年实施高职扩招政策（扩招对象主要为退役士兵），</w:t>
      </w:r>
      <w:r>
        <w:rPr>
          <w:rFonts w:hint="eastAsia" w:ascii="仿宋_GB2312" w:eastAsia="仿宋_GB2312"/>
          <w:sz w:val="32"/>
          <w:szCs w:val="32"/>
          <w:highlight w:val="none"/>
          <w:lang w:val="en-US" w:eastAsia="zh-CN"/>
        </w:rPr>
        <w:t>2023年高职扩招学生在校生达到顶峰，受助学生人数和经费大幅增加</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600" w:lineRule="exact"/>
        <w:ind w:firstLine="641"/>
        <w:textAlignment w:val="auto"/>
        <w:rPr>
          <w:rFonts w:hint="eastAsia" w:ascii="仿宋_GB2312" w:eastAsia="仿宋_GB2312"/>
          <w:sz w:val="32"/>
          <w:szCs w:val="32"/>
          <w:highlight w:val="lightGray"/>
        </w:rPr>
      </w:pPr>
    </w:p>
    <w:p>
      <w:pPr>
        <w:pStyle w:val="2"/>
        <w:numPr>
          <w:ilvl w:val="0"/>
          <w:numId w:val="0"/>
        </w:numPr>
        <w:ind w:left="600" w:leftChars="0"/>
      </w:pPr>
      <w:r>
        <w:drawing>
          <wp:inline distT="0" distB="0" distL="114300" distR="114300">
            <wp:extent cx="5086350" cy="2743200"/>
            <wp:effectExtent l="4445" t="4445" r="14605" b="1460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numPr>
          <w:ilvl w:val="0"/>
          <w:numId w:val="0"/>
        </w:numPr>
        <w:ind w:firstLine="840" w:firstLineChars="3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图：4 财政拨款收、支出决算总计变动情况（单位：万元）</w:t>
      </w:r>
    </w:p>
    <w:p>
      <w:pPr>
        <w:pStyle w:val="2"/>
        <w:numPr>
          <w:ilvl w:val="0"/>
          <w:numId w:val="3"/>
        </w:numPr>
        <w:ind w:left="600" w:leftChars="0"/>
        <w:outlineLvl w:val="1"/>
        <w:rPr>
          <w:rFonts w:hint="default" w:ascii="黑体" w:hAnsi="黑体" w:eastAsia="黑体" w:cs="黑体"/>
          <w:kern w:val="2"/>
          <w:sz w:val="32"/>
          <w:szCs w:val="32"/>
          <w:lang w:val="en-US" w:eastAsia="zh-CN" w:bidi="ar-SA"/>
        </w:rPr>
      </w:pPr>
      <w:bookmarkStart w:id="24" w:name="_Toc15377209"/>
      <w:bookmarkStart w:id="25" w:name="_Toc15396607"/>
      <w:bookmarkStart w:id="26" w:name="_Toc24750"/>
      <w:r>
        <w:rPr>
          <w:rFonts w:hint="default" w:ascii="黑体" w:hAnsi="黑体" w:eastAsia="黑体" w:cs="黑体"/>
          <w:kern w:val="2"/>
          <w:sz w:val="32"/>
          <w:szCs w:val="32"/>
          <w:lang w:val="en-US" w:eastAsia="zh-CN" w:bidi="ar-SA"/>
        </w:rPr>
        <w:t>一般公共预算财政拨款支出决算情况说明</w:t>
      </w:r>
      <w:bookmarkEnd w:id="24"/>
      <w:bookmarkEnd w:id="25"/>
      <w:bookmarkEnd w:id="26"/>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600" w:lineRule="exact"/>
        <w:ind w:firstLine="640" w:firstLineChars="200"/>
        <w:textAlignment w:val="auto"/>
        <w:outlineLvl w:val="2"/>
        <w:rPr>
          <w:rFonts w:hint="eastAsia" w:ascii="楷体_GB2312" w:hAnsi="仿宋" w:eastAsia="楷体_GB2312"/>
          <w:sz w:val="32"/>
          <w:szCs w:val="32"/>
        </w:rPr>
      </w:pPr>
      <w:bookmarkStart w:id="27" w:name="_Toc19247"/>
      <w:r>
        <w:rPr>
          <w:rFonts w:hint="eastAsia" w:ascii="楷体_GB2312" w:hAnsi="仿宋" w:eastAsia="楷体_GB2312"/>
          <w:sz w:val="32"/>
          <w:szCs w:val="32"/>
          <w:lang w:val="en-US" w:eastAsia="zh-CN"/>
        </w:rPr>
        <w:t xml:space="preserve">（一） </w:t>
      </w:r>
      <w:bookmarkStart w:id="28" w:name="_Toc11205"/>
      <w:r>
        <w:rPr>
          <w:rFonts w:hint="eastAsia" w:ascii="楷体_GB2312" w:hAnsi="仿宋" w:eastAsia="楷体_GB2312"/>
          <w:sz w:val="32"/>
          <w:szCs w:val="32"/>
        </w:rPr>
        <w:t>一般公共预算财政拨款支出决算总体情况说明</w:t>
      </w:r>
      <w:bookmarkEnd w:id="27"/>
      <w:bookmarkEnd w:id="28"/>
      <w:r>
        <w:rPr>
          <w:rFonts w:hint="eastAsia" w:ascii="楷体_GB2312" w:hAnsi="仿宋" w:eastAsia="楷体_GB2312"/>
          <w:sz w:val="32"/>
          <w:szCs w:val="32"/>
        </w:rPr>
        <w:tab/>
      </w:r>
    </w:p>
    <w:p>
      <w:pPr>
        <w:keepNext w:val="0"/>
        <w:keepLines w:val="0"/>
        <w:pageBreakBefore w:val="0"/>
        <w:widowControl w:val="0"/>
        <w:kinsoku/>
        <w:wordWrap/>
        <w:overflowPunct/>
        <w:topLinePunct/>
        <w:autoSpaceDE/>
        <w:autoSpaceDN/>
        <w:bidi w:val="0"/>
        <w:adjustRightInd/>
        <w:snapToGrid/>
        <w:spacing w:line="600" w:lineRule="exact"/>
        <w:ind w:firstLine="641"/>
        <w:textAlignment w:val="auto"/>
        <w:rPr>
          <w:rFonts w:hint="eastAsia" w:ascii="仿宋_GB2312" w:eastAsia="仿宋_GB2312"/>
          <w:sz w:val="32"/>
          <w:szCs w:val="32"/>
          <w:highlight w:val="red"/>
        </w:rPr>
      </w:pPr>
      <w:bookmarkStart w:id="29" w:name="_Toc20445"/>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kern w:val="2"/>
          <w:sz w:val="32"/>
          <w:szCs w:val="32"/>
        </w:rPr>
        <w:t>一般公共预算财政拨款支出</w:t>
      </w:r>
      <w:r>
        <w:rPr>
          <w:rFonts w:hint="eastAsia" w:hAnsi="仿宋_GB2312" w:cs="仿宋_GB2312"/>
          <w:sz w:val="32"/>
          <w:szCs w:val="32"/>
          <w:lang w:val="en-US" w:eastAsia="zh-CN"/>
        </w:rPr>
        <w:t>295511.72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，占本年度支出合计的</w:t>
      </w:r>
      <w:r>
        <w:rPr>
          <w:rFonts w:hint="eastAsia" w:ascii="仿宋_GB2312" w:hAnsi="仿宋_GB2312" w:eastAsia="仿宋_GB2312" w:cs="仿宋_GB2312"/>
          <w:sz w:val="32"/>
          <w:szCs w:val="32"/>
          <w:lang w:val="en-US" w:eastAsia="zh-CN"/>
        </w:rPr>
        <w:t>100%。与2022年相比，一般公共预算财政拨款支出增加</w:t>
      </w:r>
      <w:r>
        <w:rPr>
          <w:rFonts w:hint="eastAsia" w:ascii="仿宋_GB2312" w:eastAsia="仿宋_GB2312"/>
          <w:sz w:val="32"/>
          <w:szCs w:val="32"/>
          <w:lang w:val="en-US" w:eastAsia="zh-CN"/>
        </w:rPr>
        <w:t>35751.33</w:t>
      </w:r>
      <w:r>
        <w:rPr>
          <w:rFonts w:hint="eastAsia" w:ascii="仿宋_GB2312" w:eastAsia="仿宋_GB2312"/>
          <w:sz w:val="32"/>
          <w:szCs w:val="32"/>
        </w:rPr>
        <w:t>万元，增长率</w:t>
      </w:r>
      <w:r>
        <w:rPr>
          <w:rFonts w:hint="eastAsia" w:ascii="仿宋_GB2312" w:eastAsia="仿宋_GB2312"/>
          <w:sz w:val="32"/>
          <w:szCs w:val="32"/>
          <w:lang w:eastAsia="zh-CN"/>
        </w:rPr>
        <w:t>约</w:t>
      </w:r>
      <w:r>
        <w:rPr>
          <w:rFonts w:hint="eastAsia" w:ascii="仿宋_GB2312" w:eastAsia="仿宋_GB2312"/>
          <w:sz w:val="32"/>
          <w:szCs w:val="32"/>
        </w:rPr>
        <w:t>为</w:t>
      </w:r>
      <w:r>
        <w:rPr>
          <w:rFonts w:hint="eastAsia" w:ascii="仿宋_GB2312" w:eastAsia="仿宋_GB2312"/>
          <w:sz w:val="32"/>
          <w:szCs w:val="32"/>
          <w:lang w:val="en-US" w:eastAsia="zh-CN"/>
        </w:rPr>
        <w:t>13.763</w:t>
      </w:r>
      <w:r>
        <w:rPr>
          <w:rFonts w:hint="eastAsia" w:ascii="仿宋_GB2312" w:eastAsia="仿宋_GB2312"/>
          <w:sz w:val="32"/>
          <w:szCs w:val="32"/>
        </w:rPr>
        <w:t>%</w:t>
      </w:r>
      <w:r>
        <w:rPr>
          <w:rFonts w:hint="eastAsia" w:ascii="仿宋_GB2312" w:hAnsi="仿宋_GB2312" w:eastAsia="仿宋_GB2312" w:cs="仿宋_GB2312"/>
          <w:sz w:val="32"/>
          <w:szCs w:val="32"/>
          <w:highlight w:val="none"/>
        </w:rPr>
        <w:t>，</w:t>
      </w:r>
      <w:bookmarkEnd w:id="29"/>
      <w:r>
        <w:rPr>
          <w:rFonts w:hint="eastAsia" w:ascii="仿宋_GB2312" w:eastAsia="仿宋_GB2312"/>
          <w:sz w:val="32"/>
          <w:szCs w:val="32"/>
          <w:highlight w:val="none"/>
        </w:rPr>
        <w:t>主要</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rPr>
        <w:t>原因</w:t>
      </w:r>
      <w:r>
        <w:rPr>
          <w:rFonts w:hint="eastAsia" w:ascii="仿宋_GB2312" w:eastAsia="仿宋_GB2312"/>
          <w:sz w:val="32"/>
          <w:szCs w:val="32"/>
          <w:highlight w:val="none"/>
          <w:lang w:eastAsia="zh-CN"/>
        </w:rPr>
        <w:t>一是学生规模自然增长使受助学生人数及经费增加；二是在2019—2021年实施高职扩招政策（扩招对象主要为退役士兵），</w:t>
      </w:r>
      <w:r>
        <w:rPr>
          <w:rFonts w:hint="eastAsia" w:ascii="仿宋_GB2312" w:eastAsia="仿宋_GB2312"/>
          <w:sz w:val="32"/>
          <w:szCs w:val="32"/>
          <w:highlight w:val="none"/>
          <w:lang w:val="en-US" w:eastAsia="zh-CN"/>
        </w:rPr>
        <w:t>2023年高职扩招学生在校生达到顶峰，受助学生人数和经费大幅增加</w:t>
      </w:r>
      <w:r>
        <w:rPr>
          <w:rFonts w:hint="eastAsia" w:ascii="仿宋_GB2312" w:eastAsia="仿宋_GB2312"/>
          <w:sz w:val="32"/>
          <w:szCs w:val="32"/>
          <w:highlight w:val="none"/>
          <w:lang w:eastAsia="zh-CN"/>
        </w:rPr>
        <w:t>。</w:t>
      </w:r>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600" w:lineRule="exact"/>
        <w:ind w:firstLine="640" w:firstLineChars="200"/>
        <w:textAlignment w:val="auto"/>
        <w:outlineLvl w:val="2"/>
        <w:rPr>
          <w:rFonts w:hint="eastAsia" w:ascii="仿宋_GB2312" w:hAnsi="仿宋_GB2312" w:eastAsia="仿宋_GB2312" w:cs="仿宋_GB2312"/>
          <w:color w:val="auto"/>
          <w:sz w:val="32"/>
          <w:szCs w:val="32"/>
          <w:highlight w:val="lightGray"/>
          <w:lang w:eastAsia="zh-CN"/>
        </w:rPr>
      </w:pPr>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240" w:lineRule="auto"/>
        <w:ind w:firstLine="600" w:firstLineChars="200"/>
        <w:textAlignment w:val="auto"/>
        <w:outlineLvl w:val="9"/>
        <w:rPr>
          <w:rFonts w:hint="eastAsia"/>
        </w:rPr>
      </w:pPr>
      <w:r>
        <w:rPr>
          <w:rFonts w:hint="eastAsia"/>
          <w:lang w:val="en-US" w:eastAsia="zh-CN"/>
        </w:rPr>
        <w:t xml:space="preserve"> </w:t>
      </w:r>
      <w:r>
        <w:drawing>
          <wp:inline distT="0" distB="0" distL="114300" distR="114300">
            <wp:extent cx="4914900" cy="262890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240" w:lineRule="auto"/>
        <w:ind w:firstLine="280" w:firstLineChars="100"/>
        <w:textAlignment w:val="auto"/>
        <w:outlineLvl w:val="2"/>
        <w:rPr>
          <w:rFonts w:hint="eastAsia"/>
          <w:sz w:val="32"/>
          <w:szCs w:val="32"/>
          <w:lang w:val="en-US" w:eastAsia="zh-CN"/>
        </w:rPr>
      </w:pPr>
      <w:bookmarkStart w:id="30" w:name="_Toc1905"/>
      <w:r>
        <w:rPr>
          <w:rFonts w:hint="eastAsia" w:ascii="仿宋" w:hAnsi="仿宋" w:eastAsia="仿宋" w:cs="仿宋"/>
          <w:color w:val="auto"/>
          <w:sz w:val="28"/>
          <w:szCs w:val="28"/>
          <w:highlight w:val="none"/>
          <w:lang w:val="en-US" w:eastAsia="zh-CN"/>
        </w:rPr>
        <w:t>图5：一般公共预算财政拨款支出决算总体变动情况（单位：万</w:t>
      </w:r>
      <w:r>
        <w:rPr>
          <w:rFonts w:hint="eastAsia" w:ascii="仿宋" w:hAnsi="仿宋" w:eastAsia="仿宋" w:cs="仿宋"/>
          <w:sz w:val="28"/>
          <w:szCs w:val="28"/>
          <w:lang w:val="en-US" w:eastAsia="zh-CN"/>
        </w:rPr>
        <w:t>元）</w:t>
      </w:r>
      <w:bookmarkEnd w:id="30"/>
    </w:p>
    <w:p>
      <w:pPr>
        <w:pStyle w:val="2"/>
        <w:numPr>
          <w:ilvl w:val="0"/>
          <w:numId w:val="0"/>
        </w:numPr>
        <w:tabs>
          <w:tab w:val="left" w:pos="2053"/>
        </w:tabs>
        <w:topLinePunct/>
        <w:spacing w:beforeLines="0" w:line="566" w:lineRule="exact"/>
        <w:ind w:firstLine="640" w:firstLineChars="200"/>
        <w:outlineLvl w:val="2"/>
        <w:rPr>
          <w:rFonts w:hint="eastAsia" w:ascii="楷体_GB2312" w:hAnsi="仿宋" w:eastAsia="楷体_GB2312"/>
          <w:sz w:val="32"/>
          <w:szCs w:val="32"/>
          <w:lang w:eastAsia="zh-CN"/>
        </w:rPr>
      </w:pPr>
      <w:bookmarkStart w:id="31" w:name="_Toc6483"/>
      <w:r>
        <w:rPr>
          <w:rFonts w:hint="eastAsia" w:ascii="楷体_GB2312" w:hAnsi="仿宋" w:eastAsia="楷体_GB2312"/>
          <w:sz w:val="32"/>
          <w:szCs w:val="32"/>
          <w:lang w:val="en-US" w:eastAsia="zh-CN"/>
        </w:rPr>
        <w:t>(二)</w:t>
      </w:r>
      <w:r>
        <w:rPr>
          <w:rFonts w:hint="eastAsia" w:ascii="楷体_GB2312" w:hAnsi="仿宋" w:eastAsia="楷体_GB2312"/>
          <w:sz w:val="32"/>
          <w:szCs w:val="32"/>
        </w:rPr>
        <w:t>一般公共预算财政拨款</w:t>
      </w:r>
      <w:r>
        <w:rPr>
          <w:rFonts w:hint="eastAsia" w:ascii="楷体_GB2312" w:hAnsi="仿宋" w:eastAsia="楷体_GB2312"/>
          <w:sz w:val="32"/>
          <w:szCs w:val="32"/>
          <w:lang w:eastAsia="zh-CN"/>
        </w:rPr>
        <w:t>支出决算结构情况</w:t>
      </w:r>
      <w:bookmarkEnd w:id="31"/>
    </w:p>
    <w:p>
      <w:pPr>
        <w:pStyle w:val="2"/>
        <w:numPr>
          <w:ilvl w:val="0"/>
          <w:numId w:val="0"/>
        </w:numPr>
        <w:tabs>
          <w:tab w:val="left" w:pos="2053"/>
        </w:tabs>
        <w:topLinePunct/>
        <w:spacing w:beforeLines="0" w:line="566" w:lineRule="exact"/>
        <w:ind w:firstLine="640" w:firstLineChars="200"/>
        <w:outlineLvl w:val="2"/>
        <w:rPr>
          <w:rFonts w:hint="default" w:ascii="仿宋_GB2312" w:hAnsi="仿宋_GB2312" w:eastAsia="仿宋_GB2312" w:cs="仿宋_GB2312"/>
          <w:sz w:val="32"/>
          <w:szCs w:val="32"/>
          <w:lang w:val="en-US" w:eastAsia="zh-CN"/>
        </w:rPr>
      </w:pPr>
      <w:bookmarkStart w:id="32" w:name="_Toc3394"/>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eastAsia="zh-CN"/>
        </w:rPr>
        <w:t>支出</w:t>
      </w:r>
      <w:r>
        <w:rPr>
          <w:rFonts w:hint="eastAsia" w:hAnsi="仿宋_GB2312" w:cs="仿宋_GB2312"/>
          <w:sz w:val="32"/>
          <w:szCs w:val="32"/>
          <w:lang w:val="en-US" w:eastAsia="zh-CN"/>
        </w:rPr>
        <w:t>295511.72</w:t>
      </w:r>
      <w:r>
        <w:rPr>
          <w:rFonts w:hint="eastAsia" w:ascii="仿宋_GB2312" w:hAnsi="仿宋_GB2312" w:eastAsia="仿宋_GB2312" w:cs="仿宋_GB2312"/>
          <w:sz w:val="32"/>
          <w:szCs w:val="32"/>
          <w:lang w:val="en-US" w:eastAsia="zh-CN"/>
        </w:rPr>
        <w:t>万元，主要用于以下方面：一般公共服务支出</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万元，占比0.00%；教育支出</w:t>
      </w:r>
      <w:r>
        <w:rPr>
          <w:rFonts w:hint="eastAsia" w:hAnsi="仿宋_GB2312" w:cs="仿宋_GB2312"/>
          <w:sz w:val="32"/>
          <w:szCs w:val="32"/>
          <w:lang w:val="en-US" w:eastAsia="zh-CN"/>
        </w:rPr>
        <w:t>295363.46</w:t>
      </w:r>
      <w:r>
        <w:rPr>
          <w:rFonts w:hint="eastAsia" w:ascii="仿宋_GB2312" w:hAnsi="仿宋_GB2312" w:eastAsia="仿宋_GB2312" w:cs="仿宋_GB2312"/>
          <w:sz w:val="32"/>
          <w:szCs w:val="32"/>
          <w:lang w:val="en-US" w:eastAsia="zh-CN"/>
        </w:rPr>
        <w:t>万元，占比99.</w:t>
      </w:r>
      <w:r>
        <w:rPr>
          <w:rFonts w:hint="eastAsia" w:hAnsi="仿宋_GB2312" w:cs="仿宋_GB2312"/>
          <w:sz w:val="32"/>
          <w:szCs w:val="32"/>
          <w:lang w:val="en-US" w:eastAsia="zh-CN"/>
        </w:rPr>
        <w:t>95</w:t>
      </w:r>
      <w:r>
        <w:rPr>
          <w:rFonts w:hint="eastAsia" w:ascii="仿宋_GB2312" w:hAnsi="仿宋_GB2312" w:eastAsia="仿宋_GB2312" w:cs="仿宋_GB2312"/>
          <w:sz w:val="32"/>
          <w:szCs w:val="32"/>
          <w:lang w:val="en-US" w:eastAsia="zh-CN"/>
        </w:rPr>
        <w:t>%；社会保障和就业支出</w:t>
      </w:r>
      <w:r>
        <w:rPr>
          <w:rFonts w:hint="eastAsia" w:hAnsi="仿宋_GB2312" w:cs="仿宋_GB2312"/>
          <w:sz w:val="32"/>
          <w:szCs w:val="32"/>
          <w:lang w:val="en-US" w:eastAsia="zh-CN"/>
        </w:rPr>
        <w:t>40.77</w:t>
      </w:r>
      <w:r>
        <w:rPr>
          <w:rFonts w:hint="eastAsia" w:ascii="仿宋_GB2312" w:hAnsi="仿宋_GB2312" w:eastAsia="仿宋_GB2312" w:cs="仿宋_GB2312"/>
          <w:sz w:val="32"/>
          <w:szCs w:val="32"/>
          <w:lang w:val="en-US" w:eastAsia="zh-CN"/>
        </w:rPr>
        <w:t>万元，占比 0.01</w:t>
      </w:r>
      <w:r>
        <w:rPr>
          <w:rFonts w:hint="eastAsia" w:hAnsi="仿宋_GB2312" w:cs="仿宋_GB2312"/>
          <w:sz w:val="32"/>
          <w:szCs w:val="32"/>
          <w:lang w:val="en-US" w:eastAsia="zh-CN"/>
        </w:rPr>
        <w:t>4</w:t>
      </w:r>
      <w:r>
        <w:rPr>
          <w:rFonts w:hint="eastAsia" w:ascii="仿宋_GB2312" w:hAnsi="仿宋_GB2312" w:eastAsia="仿宋_GB2312" w:cs="仿宋_GB2312"/>
          <w:sz w:val="32"/>
          <w:szCs w:val="32"/>
          <w:lang w:val="en-US" w:eastAsia="zh-CN"/>
        </w:rPr>
        <w:t>% ；卫生健康支出</w:t>
      </w:r>
      <w:r>
        <w:rPr>
          <w:rFonts w:hint="eastAsia" w:hAnsi="仿宋_GB2312" w:cs="仿宋_GB2312"/>
          <w:sz w:val="32"/>
          <w:szCs w:val="32"/>
          <w:lang w:val="en-US" w:eastAsia="zh-CN"/>
        </w:rPr>
        <w:t>20</w:t>
      </w:r>
      <w:r>
        <w:rPr>
          <w:rFonts w:hint="eastAsia" w:ascii="仿宋_GB2312" w:hAnsi="仿宋_GB2312" w:eastAsia="仿宋_GB2312" w:cs="仿宋_GB2312"/>
          <w:sz w:val="32"/>
          <w:szCs w:val="32"/>
          <w:lang w:val="en-US" w:eastAsia="zh-CN"/>
        </w:rPr>
        <w:t>万元，占比0.0</w:t>
      </w:r>
      <w:r>
        <w:rPr>
          <w:rFonts w:hint="eastAsia" w:hAnsi="仿宋_GB2312" w:cs="仿宋_GB2312"/>
          <w:sz w:val="32"/>
          <w:szCs w:val="32"/>
          <w:lang w:val="en-US" w:eastAsia="zh-CN"/>
        </w:rPr>
        <w:t>06</w:t>
      </w:r>
      <w:r>
        <w:rPr>
          <w:rFonts w:hint="eastAsia" w:ascii="仿宋_GB2312" w:hAnsi="仿宋_GB2312" w:eastAsia="仿宋_GB2312" w:cs="仿宋_GB2312"/>
          <w:sz w:val="32"/>
          <w:szCs w:val="32"/>
          <w:lang w:val="en-US" w:eastAsia="zh-CN"/>
        </w:rPr>
        <w:t>%；住房保障支出</w:t>
      </w:r>
      <w:r>
        <w:rPr>
          <w:rFonts w:hint="eastAsia" w:hAnsi="仿宋_GB2312" w:cs="仿宋_GB2312"/>
          <w:sz w:val="32"/>
          <w:szCs w:val="32"/>
          <w:lang w:val="en-US" w:eastAsia="zh-CN"/>
        </w:rPr>
        <w:t>87.49</w:t>
      </w:r>
      <w:r>
        <w:rPr>
          <w:rFonts w:hint="eastAsia" w:ascii="仿宋_GB2312" w:hAnsi="仿宋_GB2312" w:eastAsia="仿宋_GB2312" w:cs="仿宋_GB2312"/>
          <w:sz w:val="32"/>
          <w:szCs w:val="32"/>
          <w:lang w:val="en-US" w:eastAsia="zh-CN"/>
        </w:rPr>
        <w:t xml:space="preserve">万元，占比 </w:t>
      </w:r>
      <w:r>
        <w:rPr>
          <w:rFonts w:hint="eastAsia" w:hAnsi="仿宋_GB2312" w:cs="仿宋_GB2312"/>
          <w:sz w:val="32"/>
          <w:szCs w:val="32"/>
          <w:lang w:val="en-US" w:eastAsia="zh-CN"/>
        </w:rPr>
        <w:t>0.03</w:t>
      </w:r>
      <w:r>
        <w:rPr>
          <w:rFonts w:hint="eastAsia" w:ascii="仿宋_GB2312" w:hAnsi="仿宋_GB2312" w:eastAsia="仿宋_GB2312" w:cs="仿宋_GB2312"/>
          <w:sz w:val="32"/>
          <w:szCs w:val="32"/>
          <w:lang w:val="en-US" w:eastAsia="zh-CN"/>
        </w:rPr>
        <w:t>% ；</w:t>
      </w:r>
      <w:bookmarkEnd w:id="32"/>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240" w:lineRule="auto"/>
        <w:ind w:firstLine="600" w:firstLineChars="200"/>
        <w:textAlignment w:val="auto"/>
        <w:outlineLvl w:val="9"/>
        <w:rPr>
          <w:rFonts w:hint="default" w:ascii="楷体_GB2312" w:hAnsi="仿宋" w:eastAsia="楷体_GB2312"/>
          <w:sz w:val="32"/>
          <w:szCs w:val="32"/>
          <w:lang w:val="en-US" w:eastAsia="zh-CN"/>
        </w:rPr>
      </w:pPr>
      <w:r>
        <w:drawing>
          <wp:inline distT="0" distB="0" distL="114300" distR="114300">
            <wp:extent cx="5086350" cy="2495550"/>
            <wp:effectExtent l="4445" t="4445" r="14605" b="14605"/>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240" w:lineRule="auto"/>
        <w:ind w:firstLine="840" w:firstLineChars="300"/>
        <w:textAlignment w:val="auto"/>
        <w:outlineLvl w:val="2"/>
        <w:rPr>
          <w:rFonts w:hint="eastAsia" w:ascii="楷体_GB2312" w:hAnsi="仿宋" w:eastAsia="楷体_GB2312"/>
          <w:sz w:val="32"/>
          <w:szCs w:val="32"/>
          <w:lang w:val="en-US" w:eastAsia="zh-CN"/>
        </w:rPr>
      </w:pPr>
      <w:bookmarkStart w:id="33" w:name="_Toc31332"/>
      <w:r>
        <w:rPr>
          <w:rFonts w:hint="eastAsia" w:ascii="仿宋" w:hAnsi="仿宋" w:eastAsia="仿宋" w:cs="仿宋"/>
          <w:sz w:val="28"/>
          <w:szCs w:val="28"/>
          <w:lang w:val="en-US" w:eastAsia="zh-CN"/>
        </w:rPr>
        <w:t>图6：一般公共预算财政拨款支出决算结构图（单位：万元）</w:t>
      </w:r>
      <w:bookmarkEnd w:id="33"/>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600" w:lineRule="exact"/>
        <w:ind w:firstLine="640" w:firstLineChars="200"/>
        <w:textAlignment w:val="auto"/>
        <w:outlineLvl w:val="2"/>
        <w:rPr>
          <w:rFonts w:hint="default" w:ascii="楷体_GB2312" w:hAnsi="仿宋" w:eastAsia="楷体_GB2312"/>
          <w:sz w:val="32"/>
          <w:szCs w:val="32"/>
          <w:lang w:val="en-US" w:eastAsia="zh-CN"/>
        </w:rPr>
      </w:pPr>
      <w:bookmarkStart w:id="34" w:name="_Toc18209"/>
      <w:r>
        <w:rPr>
          <w:rFonts w:hint="eastAsia" w:ascii="楷体_GB2312" w:hAnsi="仿宋" w:eastAsia="楷体_GB2312"/>
          <w:sz w:val="32"/>
          <w:szCs w:val="32"/>
          <w:lang w:val="en-US" w:eastAsia="zh-CN"/>
        </w:rPr>
        <w:t>(三)</w:t>
      </w:r>
      <w:r>
        <w:rPr>
          <w:rFonts w:hint="eastAsia" w:ascii="楷体_GB2312" w:hAnsi="仿宋" w:eastAsia="楷体_GB2312"/>
          <w:sz w:val="32"/>
          <w:szCs w:val="32"/>
          <w:lang w:eastAsia="zh-CN"/>
        </w:rPr>
        <w:t>一般公共预算财政拨款支出决算具体情况</w:t>
      </w:r>
      <w:bookmarkEnd w:id="34"/>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600" w:lineRule="exact"/>
        <w:ind w:firstLine="640" w:firstLineChars="200"/>
        <w:textAlignment w:val="auto"/>
        <w:outlineLvl w:val="2"/>
        <w:rPr>
          <w:rFonts w:hint="eastAsia" w:ascii="仿宋_GB2312" w:hAnsi="仿宋_GB2312" w:eastAsia="仿宋_GB2312" w:cs="仿宋_GB2312"/>
          <w:sz w:val="32"/>
          <w:szCs w:val="32"/>
          <w:lang w:val="en-US" w:eastAsia="zh-CN"/>
        </w:rPr>
      </w:pPr>
      <w:bookmarkStart w:id="35" w:name="_Toc6063"/>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年一般公共预算支出决算数为</w:t>
      </w:r>
      <w:r>
        <w:rPr>
          <w:rFonts w:hint="eastAsia" w:hAnsi="仿宋_GB2312" w:cs="仿宋_GB2312"/>
          <w:sz w:val="32"/>
          <w:szCs w:val="32"/>
          <w:lang w:val="en-US" w:eastAsia="zh-CN"/>
        </w:rPr>
        <w:t>295511.72</w:t>
      </w:r>
      <w:r>
        <w:rPr>
          <w:rFonts w:hint="eastAsia" w:ascii="仿宋_GB2312" w:hAnsi="仿宋_GB2312" w:eastAsia="仿宋_GB2312" w:cs="仿宋_GB2312"/>
          <w:sz w:val="32"/>
          <w:szCs w:val="32"/>
          <w:lang w:val="en-US" w:eastAsia="zh-CN"/>
        </w:rPr>
        <w:t xml:space="preserve">万元，完成预算 </w:t>
      </w:r>
      <w:r>
        <w:rPr>
          <w:rFonts w:hint="eastAsia" w:hAnsi="仿宋_GB2312" w:cs="仿宋_GB2312"/>
          <w:sz w:val="32"/>
          <w:szCs w:val="32"/>
          <w:lang w:val="en-US" w:eastAsia="zh-CN"/>
        </w:rPr>
        <w:t>94.13</w:t>
      </w:r>
      <w:r>
        <w:rPr>
          <w:rFonts w:hint="eastAsia" w:ascii="仿宋_GB2312" w:hAnsi="仿宋_GB2312" w:eastAsia="仿宋_GB2312" w:cs="仿宋_GB2312"/>
          <w:sz w:val="32"/>
          <w:szCs w:val="32"/>
          <w:lang w:val="en-US" w:eastAsia="zh-CN"/>
        </w:rPr>
        <w:t>%。</w:t>
      </w:r>
      <w:bookmarkEnd w:id="35"/>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教育支出（类）普通教育（款）小学教育（项）：</w:t>
      </w:r>
      <w:r>
        <w:rPr>
          <w:rFonts w:hint="eastAsia" w:ascii="仿宋_GB2312" w:eastAsia="仿宋_GB2312"/>
          <w:sz w:val="32"/>
          <w:szCs w:val="32"/>
        </w:rPr>
        <w:t>支出决算为</w:t>
      </w:r>
      <w:r>
        <w:rPr>
          <w:rFonts w:hint="eastAsia" w:ascii="仿宋_GB2312" w:eastAsia="仿宋_GB2312"/>
          <w:sz w:val="32"/>
          <w:szCs w:val="32"/>
          <w:lang w:val="en-US" w:eastAsia="zh-CN"/>
        </w:rPr>
        <w:t>106506.39</w:t>
      </w:r>
      <w:r>
        <w:rPr>
          <w:rFonts w:hint="eastAsia" w:ascii="仿宋_GB2312" w:eastAsia="仿宋_GB2312"/>
          <w:sz w:val="32"/>
          <w:szCs w:val="32"/>
        </w:rPr>
        <w:t>万元，完成预算</w:t>
      </w:r>
      <w:r>
        <w:rPr>
          <w:rFonts w:hint="eastAsia" w:ascii="仿宋_GB2312" w:eastAsia="仿宋_GB2312"/>
          <w:sz w:val="32"/>
          <w:szCs w:val="32"/>
          <w:lang w:val="en-US" w:eastAsia="zh-CN"/>
        </w:rPr>
        <w:t>85.45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highlight w:val="none"/>
        </w:rPr>
        <w:t>决算数</w:t>
      </w:r>
      <w:r>
        <w:rPr>
          <w:rFonts w:hint="eastAsia" w:ascii="仿宋_GB2312" w:eastAsia="仿宋_GB2312"/>
          <w:sz w:val="32"/>
          <w:szCs w:val="32"/>
          <w:highlight w:val="none"/>
          <w:lang w:eastAsia="zh-CN"/>
        </w:rPr>
        <w:t>小于</w:t>
      </w:r>
      <w:r>
        <w:rPr>
          <w:rFonts w:hint="eastAsia" w:ascii="仿宋_GB2312" w:eastAsia="仿宋_GB2312"/>
          <w:sz w:val="32"/>
          <w:szCs w:val="32"/>
          <w:highlight w:val="none"/>
        </w:rPr>
        <w:t>预算数</w:t>
      </w:r>
      <w:r>
        <w:rPr>
          <w:rFonts w:hint="eastAsia" w:ascii="仿宋_GB2312" w:eastAsia="仿宋_GB2312"/>
          <w:sz w:val="32"/>
          <w:szCs w:val="32"/>
          <w:highlight w:val="none"/>
          <w:lang w:eastAsia="zh-CN"/>
        </w:rPr>
        <w:t>主要为该项目为跨年采购项目，剩余指标年底由财政收回</w:t>
      </w:r>
      <w:r>
        <w:rPr>
          <w:rFonts w:hint="eastAsia" w:ascii="仿宋_GB2312" w:eastAsia="仿宋_GB2312"/>
          <w:sz w:val="32"/>
          <w:szCs w:val="32"/>
          <w:highlight w:val="none"/>
        </w:rPr>
        <w:t>。</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教育支出（类）普通教育（款）高等教育（项）：</w:t>
      </w:r>
      <w:r>
        <w:rPr>
          <w:rFonts w:hint="eastAsia" w:ascii="仿宋_GB2312" w:eastAsia="仿宋_GB2312"/>
          <w:sz w:val="32"/>
          <w:szCs w:val="32"/>
        </w:rPr>
        <w:t>支出决算为</w:t>
      </w:r>
      <w:r>
        <w:rPr>
          <w:rFonts w:hint="eastAsia" w:ascii="仿宋_GB2312" w:eastAsia="仿宋_GB2312"/>
          <w:sz w:val="32"/>
          <w:szCs w:val="32"/>
          <w:lang w:val="en-US" w:eastAsia="zh-CN"/>
        </w:rPr>
        <w:t>185487.93</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决算数等于预算数</w:t>
      </w:r>
      <w:r>
        <w:rPr>
          <w:rFonts w:hint="eastAsia" w:ascii="仿宋_GB2312" w:eastAsia="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教育支出（类）普通教育（款）其他普通教育（项）：</w:t>
      </w:r>
      <w:r>
        <w:rPr>
          <w:rFonts w:hint="eastAsia" w:ascii="仿宋_GB2312" w:eastAsia="仿宋_GB2312"/>
          <w:sz w:val="32"/>
          <w:szCs w:val="32"/>
        </w:rPr>
        <w:t>支出决算为</w:t>
      </w:r>
      <w:r>
        <w:rPr>
          <w:rFonts w:hint="eastAsia" w:ascii="仿宋_GB2312" w:eastAsia="仿宋_GB2312"/>
          <w:sz w:val="32"/>
          <w:szCs w:val="32"/>
          <w:lang w:val="en-US" w:eastAsia="zh-CN"/>
        </w:rPr>
        <w:t>504.97</w:t>
      </w:r>
      <w:r>
        <w:rPr>
          <w:rFonts w:hint="eastAsia" w:ascii="仿宋_GB2312" w:eastAsia="仿宋_GB2312"/>
          <w:sz w:val="32"/>
          <w:szCs w:val="32"/>
        </w:rPr>
        <w:t>万元，完成预算</w:t>
      </w:r>
      <w:r>
        <w:rPr>
          <w:rFonts w:hint="eastAsia" w:ascii="仿宋_GB2312" w:eastAsia="仿宋_GB2312"/>
          <w:sz w:val="32"/>
          <w:szCs w:val="32"/>
          <w:lang w:val="en-US" w:eastAsia="zh-CN"/>
        </w:rPr>
        <w:t>83.61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highlight w:val="none"/>
        </w:rPr>
        <w:t>决算数</w:t>
      </w:r>
      <w:r>
        <w:rPr>
          <w:rFonts w:hint="eastAsia" w:ascii="仿宋_GB2312" w:eastAsia="仿宋_GB2312"/>
          <w:sz w:val="32"/>
          <w:szCs w:val="32"/>
          <w:highlight w:val="none"/>
          <w:lang w:eastAsia="zh-CN"/>
        </w:rPr>
        <w:t>小于</w:t>
      </w:r>
      <w:r>
        <w:rPr>
          <w:rFonts w:hint="eastAsia" w:ascii="仿宋_GB2312" w:eastAsia="仿宋_GB2312"/>
          <w:sz w:val="32"/>
          <w:szCs w:val="32"/>
          <w:highlight w:val="none"/>
        </w:rPr>
        <w:t>预算数</w:t>
      </w:r>
      <w:r>
        <w:rPr>
          <w:rFonts w:hint="eastAsia" w:ascii="仿宋_GB2312" w:eastAsia="仿宋_GB2312"/>
          <w:sz w:val="32"/>
          <w:szCs w:val="32"/>
          <w:highlight w:val="none"/>
          <w:lang w:eastAsia="zh-CN"/>
        </w:rPr>
        <w:t>主要原因年初预算购房补贴资金，因申报成功后由财政专项下达预算。</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b/>
          <w:bCs/>
          <w:sz w:val="32"/>
          <w:szCs w:val="32"/>
          <w:lang w:eastAsia="zh-CN"/>
        </w:rPr>
        <w:t>教育支出（类）职业教育（款）高等职业教育（项）：</w:t>
      </w:r>
      <w:r>
        <w:rPr>
          <w:rFonts w:hint="eastAsia" w:ascii="仿宋_GB2312" w:eastAsia="仿宋_GB2312"/>
          <w:sz w:val="32"/>
          <w:szCs w:val="32"/>
        </w:rPr>
        <w:t>支出决算为</w:t>
      </w:r>
      <w:r>
        <w:rPr>
          <w:rFonts w:hint="eastAsia" w:ascii="仿宋_GB2312" w:eastAsia="仿宋_GB2312"/>
          <w:sz w:val="32"/>
          <w:szCs w:val="32"/>
          <w:lang w:val="en-US" w:eastAsia="zh-CN"/>
        </w:rPr>
        <w:t>2864.19</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决算数等于预算数</w:t>
      </w:r>
      <w:r>
        <w:rPr>
          <w:rFonts w:hint="eastAsia" w:ascii="仿宋_GB2312" w:eastAsia="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_GB2312" w:eastAsia="仿宋_GB2312"/>
          <w:sz w:val="32"/>
          <w:szCs w:val="32"/>
          <w:highlight w:val="none"/>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社会保障和就业（类）行政事业单位养老保险支出（款）机关事业单位基本养老保险缴费支出和机关事业单位职业年金缴费支出（项）</w:t>
      </w:r>
      <w:r>
        <w:rPr>
          <w:rFonts w:hint="eastAsia" w:ascii="仿宋_GB2312" w:hAnsi="仿宋_GB2312" w:eastAsia="仿宋_GB2312" w:cs="仿宋_GB2312"/>
          <w:sz w:val="32"/>
          <w:szCs w:val="32"/>
        </w:rPr>
        <w:t xml:space="preserve">: </w:t>
      </w:r>
      <w:r>
        <w:rPr>
          <w:rFonts w:hint="eastAsia" w:ascii="仿宋_GB2312" w:eastAsia="仿宋_GB2312"/>
          <w:sz w:val="32"/>
          <w:szCs w:val="32"/>
          <w:highlight w:val="none"/>
        </w:rPr>
        <w:t>支出决算为</w:t>
      </w:r>
      <w:r>
        <w:rPr>
          <w:rFonts w:hint="eastAsia" w:ascii="仿宋_GB2312" w:eastAsia="仿宋_GB2312"/>
          <w:sz w:val="32"/>
          <w:szCs w:val="32"/>
          <w:highlight w:val="none"/>
          <w:lang w:val="en-US" w:eastAsia="zh-CN"/>
        </w:rPr>
        <w:t>40.77</w:t>
      </w:r>
      <w:r>
        <w:rPr>
          <w:rFonts w:hint="eastAsia" w:ascii="仿宋_GB2312" w:eastAsia="仿宋_GB2312"/>
          <w:sz w:val="32"/>
          <w:szCs w:val="32"/>
          <w:highlight w:val="none"/>
        </w:rPr>
        <w:t>万元，完成预算</w:t>
      </w:r>
      <w:r>
        <w:rPr>
          <w:rFonts w:hint="eastAsia" w:ascii="仿宋_GB2312" w:eastAsia="仿宋_GB2312"/>
          <w:sz w:val="32"/>
          <w:szCs w:val="32"/>
          <w:highlight w:val="none"/>
          <w:lang w:val="en-US" w:eastAsia="zh-CN"/>
        </w:rPr>
        <w:t>92.66</w:t>
      </w:r>
      <w:r>
        <w:rPr>
          <w:rFonts w:hint="eastAsia" w:ascii="仿宋_GB2312" w:eastAsia="仿宋_GB2312"/>
          <w:sz w:val="32"/>
          <w:szCs w:val="32"/>
          <w:highlight w:val="none"/>
        </w:rPr>
        <w:t>%，决算数</w:t>
      </w:r>
      <w:r>
        <w:rPr>
          <w:rFonts w:hint="eastAsia" w:ascii="仿宋_GB2312" w:eastAsia="仿宋_GB2312"/>
          <w:sz w:val="32"/>
          <w:szCs w:val="32"/>
          <w:highlight w:val="none"/>
          <w:lang w:eastAsia="zh-CN"/>
        </w:rPr>
        <w:t>小于</w:t>
      </w:r>
      <w:r>
        <w:rPr>
          <w:rFonts w:hint="eastAsia" w:ascii="仿宋_GB2312" w:eastAsia="仿宋_GB2312"/>
          <w:sz w:val="32"/>
          <w:szCs w:val="32"/>
          <w:highlight w:val="none"/>
        </w:rPr>
        <w:t>预算数</w:t>
      </w:r>
      <w:r>
        <w:rPr>
          <w:rFonts w:hint="eastAsia" w:ascii="仿宋_GB2312" w:eastAsia="仿宋_GB2312"/>
          <w:sz w:val="32"/>
          <w:szCs w:val="32"/>
          <w:highlight w:val="none"/>
          <w:lang w:eastAsia="zh-CN"/>
        </w:rPr>
        <w:t>原因为</w:t>
      </w:r>
      <w:r>
        <w:rPr>
          <w:rFonts w:hint="eastAsia" w:ascii="仿宋_GB2312" w:eastAsia="仿宋_GB2312"/>
          <w:sz w:val="32"/>
          <w:szCs w:val="32"/>
          <w:highlight w:val="none"/>
          <w:lang w:val="en-US" w:eastAsia="zh-CN"/>
        </w:rPr>
        <w:t>2023年本单位有人员减少</w:t>
      </w:r>
      <w:r>
        <w:rPr>
          <w:rFonts w:hint="eastAsia" w:ascii="仿宋_GB2312" w:eastAsia="仿宋_GB2312"/>
          <w:sz w:val="32"/>
          <w:szCs w:val="32"/>
          <w:highlight w:val="none"/>
        </w:rPr>
        <w:t>。</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.卫生健康支出（类）行政事业单位医疗（款）事业单位医疗（项）</w:t>
      </w:r>
      <w:r>
        <w:rPr>
          <w:rFonts w:hint="eastAsia" w:ascii="仿宋_GB2312" w:hAnsi="仿宋_GB2312" w:eastAsia="仿宋_GB2312" w:cs="仿宋_GB2312"/>
          <w:sz w:val="32"/>
          <w:szCs w:val="32"/>
        </w:rPr>
        <w:t>:</w:t>
      </w:r>
      <w:r>
        <w:rPr>
          <w:rFonts w:hint="eastAsia" w:ascii="仿宋_GB2312" w:eastAsia="仿宋_GB2312"/>
          <w:sz w:val="32"/>
          <w:szCs w:val="32"/>
        </w:rPr>
        <w:t>支出决算为</w:t>
      </w:r>
      <w:r>
        <w:rPr>
          <w:rFonts w:hint="eastAsia" w:ascii="仿宋_GB2312" w:eastAsia="仿宋_GB2312"/>
          <w:sz w:val="32"/>
          <w:szCs w:val="32"/>
          <w:lang w:val="en-US" w:eastAsia="zh-CN"/>
        </w:rPr>
        <w:t>20</w:t>
      </w:r>
      <w:r>
        <w:rPr>
          <w:rFonts w:hint="eastAsia" w:ascii="仿宋_GB2312" w:eastAsia="仿宋_GB2312"/>
          <w:sz w:val="32"/>
          <w:szCs w:val="32"/>
        </w:rPr>
        <w:t>万元，完成预算100%，决算数等于预算数。</w:t>
      </w:r>
    </w:p>
    <w:p>
      <w:pPr>
        <w:keepNext w:val="0"/>
        <w:keepLines w:val="0"/>
        <w:pageBreakBefore w:val="0"/>
        <w:widowControl w:val="0"/>
        <w:kinsoku/>
        <w:wordWrap/>
        <w:overflowPunct/>
        <w:topLinePunct/>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.住房保障支出（类）住房改革支出（款）住房公积金（项）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%，决算数等于预算数。</w:t>
      </w:r>
    </w:p>
    <w:p>
      <w:pPr>
        <w:pStyle w:val="7"/>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住房保障支出（类）住房改革支出（款）</w:t>
      </w:r>
      <w:r>
        <w:rPr>
          <w:rFonts w:hint="eastAsia" w:ascii="仿宋_GB2312" w:hAnsi="仿宋_GB2312" w:eastAsia="仿宋_GB2312" w:cs="仿宋_GB2312"/>
          <w:b/>
          <w:sz w:val="32"/>
          <w:szCs w:val="32"/>
          <w:lang w:eastAsia="zh-CN"/>
        </w:rPr>
        <w:t>购房补贴</w:t>
      </w:r>
      <w:r>
        <w:rPr>
          <w:rFonts w:hint="eastAsia" w:ascii="仿宋_GB2312" w:hAnsi="仿宋_GB2312" w:eastAsia="仿宋_GB2312" w:cs="仿宋_GB2312"/>
          <w:b/>
          <w:sz w:val="32"/>
          <w:szCs w:val="32"/>
        </w:rPr>
        <w:t>（项）</w:t>
      </w:r>
      <w:r>
        <w:rPr>
          <w:rFonts w:hint="eastAsia" w:ascii="仿宋_GB2312" w:hAnsi="仿宋_GB2312" w:eastAsia="仿宋_GB2312" w:cs="仿宋_GB2312"/>
          <w:sz w:val="32"/>
          <w:szCs w:val="32"/>
        </w:rPr>
        <w:t>：</w:t>
      </w:r>
    </w:p>
    <w:p>
      <w:pPr>
        <w:pStyle w:val="4"/>
        <w:spacing w:line="360" w:lineRule="auto"/>
        <w:ind w:left="0" w:leftChars="0" w:firstLine="0" w:firstLineChars="0"/>
        <w:rPr>
          <w:rFonts w:hint="default" w:eastAsia="仿宋_GB2312"/>
          <w:lang w:val="en-US" w:eastAsia="zh-CN"/>
        </w:rPr>
      </w:pP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65.49万元，完成预算48.33%</w:t>
      </w:r>
      <w:r>
        <w:rPr>
          <w:rFonts w:hint="eastAsia" w:ascii="仿宋_GB2312" w:hAnsi="仿宋_GB2312" w:eastAsia="仿宋_GB2312" w:cs="仿宋_GB2312"/>
          <w:sz w:val="32"/>
          <w:szCs w:val="32"/>
          <w:highlight w:val="none"/>
          <w:lang w:val="en-US" w:eastAsia="zh-CN"/>
        </w:rPr>
        <w:t>,决算数小于预算数主要原因为房补2023年申报通过后由财政专项下达预算。</w:t>
      </w:r>
    </w:p>
    <w:p>
      <w:pPr>
        <w:pStyle w:val="2"/>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outlineLvl w:val="1"/>
        <w:rPr>
          <w:rFonts w:hint="eastAsia" w:ascii="黑体" w:hAnsi="黑体" w:eastAsia="黑体" w:cs="黑体"/>
          <w:kern w:val="2"/>
          <w:sz w:val="32"/>
          <w:szCs w:val="32"/>
          <w:lang w:val="en-US" w:eastAsia="zh-CN" w:bidi="ar-SA"/>
        </w:rPr>
      </w:pPr>
      <w:bookmarkStart w:id="36" w:name="_Toc22267"/>
      <w:bookmarkStart w:id="37" w:name="_Toc114240532"/>
      <w:bookmarkStart w:id="38" w:name="_Toc14593"/>
      <w:bookmarkStart w:id="39" w:name="_Toc25579"/>
      <w:bookmarkStart w:id="40" w:name="_Toc26659"/>
      <w:bookmarkStart w:id="41" w:name="_Toc81996981"/>
      <w:bookmarkStart w:id="42" w:name="_Toc5161"/>
      <w:bookmarkStart w:id="43" w:name="_Toc14544"/>
      <w:bookmarkStart w:id="44" w:name="_Toc15396608"/>
      <w:bookmarkStart w:id="45" w:name="_Toc15377214"/>
      <w:bookmarkStart w:id="46" w:name="_Toc81996727"/>
      <w:r>
        <w:rPr>
          <w:rFonts w:hint="eastAsia" w:ascii="黑体" w:hAnsi="黑体" w:eastAsia="黑体" w:cs="黑体"/>
          <w:kern w:val="2"/>
          <w:sz w:val="32"/>
          <w:szCs w:val="32"/>
          <w:lang w:val="en-US" w:eastAsia="zh-CN" w:bidi="ar-SA"/>
        </w:rPr>
        <w:t>六、一般公共预算财政拨款基本支出决算情况说明</w:t>
      </w:r>
      <w:bookmarkEnd w:id="36"/>
      <w:bookmarkEnd w:id="37"/>
      <w:bookmarkEnd w:id="38"/>
      <w:bookmarkEnd w:id="39"/>
      <w:bookmarkEnd w:id="40"/>
      <w:bookmarkEnd w:id="41"/>
      <w:bookmarkEnd w:id="42"/>
      <w:bookmarkEnd w:id="43"/>
      <w:bookmarkEnd w:id="44"/>
      <w:bookmarkEnd w:id="45"/>
      <w:bookmarkEnd w:id="46"/>
      <w:r>
        <w:rPr>
          <w:rFonts w:hint="eastAsia" w:ascii="黑体" w:hAnsi="黑体" w:eastAsia="黑体" w:cs="黑体"/>
          <w:kern w:val="2"/>
          <w:sz w:val="32"/>
          <w:szCs w:val="32"/>
          <w:lang w:val="en-US" w:eastAsia="zh-CN" w:bidi="ar-SA"/>
        </w:rPr>
        <w:tab/>
      </w:r>
    </w:p>
    <w:p>
      <w:pPr>
        <w:pStyle w:val="2"/>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年度一般公共预算财政拨款基本支出</w:t>
      </w:r>
      <w:r>
        <w:rPr>
          <w:rFonts w:hint="eastAsia" w:hAnsi="仿宋_GB2312" w:cs="仿宋_GB2312"/>
          <w:kern w:val="2"/>
          <w:sz w:val="32"/>
          <w:szCs w:val="32"/>
          <w:lang w:val="en-US" w:eastAsia="zh-CN" w:bidi="ar-SA"/>
        </w:rPr>
        <w:t>488.52万</w:t>
      </w:r>
      <w:r>
        <w:rPr>
          <w:rFonts w:hint="eastAsia" w:ascii="仿宋_GB2312" w:hAnsi="仿宋_GB2312" w:eastAsia="仿宋_GB2312" w:cs="仿宋_GB2312"/>
          <w:kern w:val="2"/>
          <w:sz w:val="32"/>
          <w:szCs w:val="32"/>
          <w:lang w:val="en-US" w:eastAsia="zh-CN" w:bidi="ar-SA"/>
        </w:rPr>
        <w:t>元。其中：人员经费</w:t>
      </w:r>
      <w:r>
        <w:rPr>
          <w:rFonts w:hint="eastAsia" w:hAnsi="仿宋_GB2312" w:cs="仿宋_GB2312"/>
          <w:kern w:val="2"/>
          <w:sz w:val="32"/>
          <w:szCs w:val="32"/>
          <w:lang w:val="en-US" w:eastAsia="zh-CN" w:bidi="ar-SA"/>
        </w:rPr>
        <w:t>378.02</w:t>
      </w:r>
      <w:r>
        <w:rPr>
          <w:rFonts w:hint="eastAsia" w:ascii="仿宋_GB2312" w:hAnsi="仿宋_GB2312" w:eastAsia="仿宋_GB2312" w:cs="仿宋_GB2312"/>
          <w:kern w:val="2"/>
          <w:sz w:val="32"/>
          <w:szCs w:val="32"/>
          <w:lang w:val="en-US" w:eastAsia="zh-CN" w:bidi="ar-SA"/>
        </w:rPr>
        <w:t>万元，主要包括基本工资、</w:t>
      </w:r>
      <w:r>
        <w:rPr>
          <w:rFonts w:hint="eastAsia" w:hAnsi="仿宋_GB2312" w:cs="仿宋_GB2312"/>
          <w:kern w:val="2"/>
          <w:sz w:val="32"/>
          <w:szCs w:val="32"/>
          <w:lang w:val="en-US" w:eastAsia="zh-CN" w:bidi="ar-SA"/>
        </w:rPr>
        <w:t>津补贴、</w:t>
      </w:r>
      <w:r>
        <w:rPr>
          <w:rFonts w:hint="eastAsia" w:ascii="仿宋_GB2312" w:hAnsi="仿宋_GB2312" w:eastAsia="仿宋_GB2312" w:cs="仿宋_GB2312"/>
          <w:kern w:val="2"/>
          <w:sz w:val="32"/>
          <w:szCs w:val="32"/>
          <w:lang w:val="en-US" w:eastAsia="zh-CN" w:bidi="ar-SA"/>
        </w:rPr>
        <w:t>绩效工资、机关事业单位基本养老保险缴费、职业年金缴费、职工基本医疗保险缴费、其他社会保障缴费、其他工资福利支出、住房公积金。</w:t>
      </w:r>
    </w:p>
    <w:p>
      <w:pPr>
        <w:pStyle w:val="2"/>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公用经费</w:t>
      </w:r>
      <w:r>
        <w:rPr>
          <w:rFonts w:hint="eastAsia" w:hAnsi="仿宋_GB2312" w:cs="仿宋_GB2312"/>
          <w:kern w:val="2"/>
          <w:sz w:val="32"/>
          <w:szCs w:val="32"/>
          <w:lang w:val="en-US" w:eastAsia="zh-CN" w:bidi="ar-SA"/>
        </w:rPr>
        <w:t>110.5</w:t>
      </w:r>
      <w:r>
        <w:rPr>
          <w:rFonts w:hint="eastAsia" w:ascii="仿宋_GB2312" w:hAnsi="仿宋_GB2312" w:eastAsia="仿宋_GB2312" w:cs="仿宋_GB2312"/>
          <w:kern w:val="2"/>
          <w:sz w:val="32"/>
          <w:szCs w:val="32"/>
          <w:lang w:val="en-US" w:eastAsia="zh-CN" w:bidi="ar-SA"/>
        </w:rPr>
        <w:t>万元，主要包括办公费、印刷费、邮电费、物业管理费、差旅费、培训费、劳务费、委托业务费、工会经费、福利费、公务用车运行维护费、其他商品和服务支出。</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outlineLvl w:val="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bookmarkStart w:id="47" w:name="_Toc688"/>
      <w:bookmarkStart w:id="48" w:name="_Toc14583"/>
      <w:bookmarkStart w:id="49" w:name="_Toc24033"/>
      <w:bookmarkStart w:id="50" w:name="_Toc114240533"/>
      <w:bookmarkStart w:id="51" w:name="_Toc15652"/>
      <w:bookmarkStart w:id="52" w:name="_Toc2036"/>
      <w:bookmarkStart w:id="53" w:name="_Toc15377216"/>
      <w:bookmarkStart w:id="54" w:name="_Toc81996729"/>
      <w:bookmarkStart w:id="55" w:name="_Toc81996983"/>
      <w:r>
        <w:rPr>
          <w:rFonts w:hint="eastAsia" w:ascii="黑体" w:hAnsi="黑体" w:eastAsia="黑体" w:cs="黑体"/>
          <w:kern w:val="2"/>
          <w:sz w:val="32"/>
          <w:szCs w:val="32"/>
          <w:lang w:val="en-US" w:eastAsia="zh-CN" w:bidi="ar-SA"/>
        </w:rPr>
        <w:t>七、“三公”经费财政拨款支出决算情况说明</w:t>
      </w:r>
      <w:bookmarkEnd w:id="47"/>
      <w:bookmarkEnd w:id="48"/>
      <w:bookmarkEnd w:id="49"/>
      <w:bookmarkEnd w:id="50"/>
      <w:bookmarkEnd w:id="51"/>
      <w:bookmarkEnd w:id="52"/>
    </w:p>
    <w:p>
      <w:pPr>
        <w:pStyle w:val="2"/>
        <w:keepNext w:val="0"/>
        <w:keepLines w:val="0"/>
        <w:pageBreakBefore w:val="0"/>
        <w:widowControl w:val="0"/>
        <w:tabs>
          <w:tab w:val="left" w:pos="2053"/>
        </w:tabs>
        <w:kinsoku/>
        <w:wordWrap/>
        <w:overflowPunct/>
        <w:topLinePunct/>
        <w:autoSpaceDE/>
        <w:autoSpaceDN/>
        <w:bidi w:val="0"/>
        <w:adjustRightInd/>
        <w:snapToGrid/>
        <w:spacing w:beforeLines="0" w:line="600" w:lineRule="exact"/>
        <w:ind w:left="420" w:leftChars="200" w:firstLine="320" w:firstLineChars="100"/>
        <w:textAlignment w:val="auto"/>
        <w:outlineLvl w:val="2"/>
        <w:rPr>
          <w:rFonts w:hint="eastAsia" w:ascii="仿宋_GB2312" w:hAnsi="仿宋_GB2312" w:eastAsia="仿宋_GB2312" w:cs="仿宋_GB2312"/>
          <w:sz w:val="32"/>
          <w:szCs w:val="32"/>
        </w:rPr>
      </w:pPr>
      <w:bookmarkStart w:id="56" w:name="_Toc29302"/>
      <w:bookmarkStart w:id="57" w:name="_Toc1271"/>
      <w:r>
        <w:rPr>
          <w:rFonts w:hint="eastAsia" w:ascii="仿宋_GB2312" w:hAnsi="仿宋_GB2312" w:eastAsia="仿宋_GB2312" w:cs="仿宋_GB2312"/>
          <w:sz w:val="32"/>
          <w:szCs w:val="32"/>
        </w:rPr>
        <w:t>（一）“三公”经费财政拨款支出决算总体情况说明</w:t>
      </w:r>
      <w:bookmarkEnd w:id="53"/>
      <w:bookmarkEnd w:id="54"/>
      <w:bookmarkEnd w:id="55"/>
      <w:bookmarkEnd w:id="56"/>
      <w:bookmarkEnd w:id="57"/>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w:t>
      </w:r>
      <w:r>
        <w:rPr>
          <w:rFonts w:hint="eastAsia" w:ascii="仿宋_GB2312" w:hAnsi="仿宋_GB2312" w:eastAsia="仿宋_GB2312" w:cs="仿宋_GB2312"/>
          <w:sz w:val="32"/>
          <w:szCs w:val="32"/>
          <w:lang w:val="en-US" w:eastAsia="zh-CN"/>
        </w:rPr>
        <w:t>1.58万</w:t>
      </w:r>
      <w:r>
        <w:rPr>
          <w:rFonts w:hint="eastAsia" w:ascii="仿宋_GB2312" w:hAnsi="仿宋_GB2312" w:eastAsia="仿宋_GB2312" w:cs="仿宋_GB2312"/>
          <w:sz w:val="32"/>
          <w:szCs w:val="32"/>
        </w:rPr>
        <w:t>元，完成预算</w:t>
      </w:r>
      <w:r>
        <w:rPr>
          <w:rFonts w:hint="eastAsia" w:ascii="仿宋_GB2312" w:hAnsi="仿宋_GB2312" w:eastAsia="仿宋_GB2312" w:cs="仿宋_GB2312"/>
          <w:sz w:val="32"/>
          <w:szCs w:val="32"/>
          <w:lang w:val="en-US" w:eastAsia="zh-CN"/>
        </w:rPr>
        <w:t>22.57</w:t>
      </w:r>
      <w:r>
        <w:rPr>
          <w:rFonts w:hint="eastAsia" w:ascii="仿宋_GB2312" w:hAnsi="仿宋_GB2312" w:eastAsia="仿宋_GB2312" w:cs="仿宋_GB2312"/>
          <w:sz w:val="32"/>
          <w:szCs w:val="32"/>
        </w:rPr>
        <w:t>%，决算数小于预算数的主要原因为</w:t>
      </w:r>
      <w:r>
        <w:rPr>
          <w:rFonts w:hint="eastAsia" w:ascii="仿宋_GB2312" w:hAnsi="仿宋_GB2312" w:eastAsia="仿宋_GB2312" w:cs="仿宋_GB2312"/>
          <w:sz w:val="32"/>
          <w:szCs w:val="32"/>
          <w:lang w:val="en-US" w:eastAsia="zh-CN"/>
        </w:rPr>
        <w:t>2023年本单位未发生公务接待活动情况，2022年底单位新购置新能源车辆，公务车运行维护费发生较少。</w:t>
      </w:r>
    </w:p>
    <w:p>
      <w:pPr>
        <w:pStyle w:val="2"/>
        <w:keepNext w:val="0"/>
        <w:keepLines w:val="0"/>
        <w:pageBreakBefore w:val="0"/>
        <w:widowControl w:val="0"/>
        <w:tabs>
          <w:tab w:val="left" w:pos="2053"/>
        </w:tabs>
        <w:kinsoku/>
        <w:wordWrap/>
        <w:overflowPunct/>
        <w:topLinePunct/>
        <w:autoSpaceDE/>
        <w:autoSpaceDN/>
        <w:bidi w:val="0"/>
        <w:adjustRightInd/>
        <w:snapToGrid/>
        <w:spacing w:beforeLines="0" w:line="600" w:lineRule="exact"/>
        <w:ind w:left="420" w:leftChars="200" w:firstLine="320" w:firstLineChars="100"/>
        <w:textAlignment w:val="auto"/>
        <w:outlineLvl w:val="2"/>
        <w:rPr>
          <w:rFonts w:hint="eastAsia" w:ascii="仿宋_GB2312" w:hAnsi="仿宋_GB2312" w:eastAsia="仿宋_GB2312" w:cs="仿宋_GB2312"/>
          <w:sz w:val="32"/>
          <w:szCs w:val="32"/>
        </w:rPr>
      </w:pPr>
      <w:bookmarkStart w:id="58" w:name="_Toc15377217"/>
      <w:bookmarkStart w:id="59" w:name="_Toc19242"/>
      <w:bookmarkStart w:id="60" w:name="_Toc19920"/>
      <w:r>
        <w:rPr>
          <w:rFonts w:hint="eastAsia" w:ascii="仿宋_GB2312" w:hAnsi="仿宋_GB2312" w:eastAsia="仿宋_GB2312" w:cs="仿宋_GB2312"/>
          <w:sz w:val="32"/>
          <w:szCs w:val="32"/>
        </w:rPr>
        <w:t>（二）“三公”经费财政拨款支出决算具体情况说明</w:t>
      </w:r>
      <w:bookmarkEnd w:id="58"/>
      <w:bookmarkEnd w:id="59"/>
      <w:bookmarkEnd w:id="60"/>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年度“三公”经费财政拨款支出决算中，因公出国（境）费支出决算0元，占0%；公务用车购置及运行维护费支出决算</w:t>
      </w:r>
      <w:r>
        <w:rPr>
          <w:rFonts w:hint="eastAsia" w:ascii="仿宋_GB2312" w:hAnsi="仿宋_GB2312" w:eastAsia="仿宋_GB2312" w:cs="仿宋_GB2312"/>
          <w:sz w:val="32"/>
          <w:szCs w:val="32"/>
          <w:lang w:val="en-US" w:eastAsia="zh-CN"/>
        </w:rPr>
        <w:t>1.58万</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highlight w:val="none"/>
        </w:rPr>
      </w:pPr>
      <w:r>
        <w:rPr>
          <w:rFonts w:hint="eastAsia"/>
          <w:lang w:val="en-US" w:eastAsia="zh-CN"/>
        </w:rPr>
        <w:t xml:space="preserve">          </w:t>
      </w:r>
      <w:r>
        <w:drawing>
          <wp:inline distT="0" distB="0" distL="114300" distR="114300">
            <wp:extent cx="4514850" cy="2305050"/>
            <wp:effectExtent l="4445" t="4445" r="14605" b="14605"/>
            <wp:docPr id="20" name="图表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1968" w:firstLineChars="703"/>
        <w:rPr>
          <w:rFonts w:ascii="仿宋" w:hAnsi="仿宋" w:eastAsia="仿宋"/>
          <w:color w:val="auto"/>
          <w:sz w:val="28"/>
          <w:szCs w:val="28"/>
          <w:highlight w:val="none"/>
        </w:rPr>
      </w:pPr>
      <w:r>
        <w:rPr>
          <w:rFonts w:hint="eastAsia" w:ascii="仿宋" w:hAnsi="仿宋" w:eastAsia="仿宋"/>
          <w:color w:val="auto"/>
          <w:sz w:val="28"/>
          <w:szCs w:val="28"/>
          <w:highlight w:val="none"/>
        </w:rPr>
        <w:t>图7：“三公”经费财政拨款支出结构</w:t>
      </w:r>
    </w:p>
    <w:p>
      <w:pPr>
        <w:keepNext w:val="0"/>
        <w:keepLines w:val="0"/>
        <w:pageBreakBefore w:val="0"/>
        <w:widowControl w:val="0"/>
        <w:kinsoku/>
        <w:wordWrap/>
        <w:overflowPunct/>
        <w:topLinePunct/>
        <w:autoSpaceDE/>
        <w:autoSpaceDN/>
        <w:bidi w:val="0"/>
        <w:adjustRightInd/>
        <w:snapToGrid/>
        <w:spacing w:line="600" w:lineRule="exact"/>
        <w:ind w:firstLine="640"/>
        <w:textAlignment w:val="auto"/>
        <w:rPr>
          <w:rFonts w:hint="eastAsia"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0元，完成预算0%。全年安排因公出国（境）团组0次，出国（境）0人。因公出国（境）支出决算与202</w:t>
      </w:r>
      <w:r>
        <w:rPr>
          <w:rFonts w:hint="eastAsia" w:ascii="仿宋_GB2312" w:eastAsia="仿宋_GB2312"/>
          <w:sz w:val="32"/>
          <w:szCs w:val="32"/>
          <w:lang w:val="en-US" w:eastAsia="zh-CN"/>
        </w:rPr>
        <w:t>2</w:t>
      </w:r>
      <w:r>
        <w:rPr>
          <w:rFonts w:hint="eastAsia" w:ascii="仿宋_GB2312" w:eastAsia="仿宋_GB2312"/>
          <w:sz w:val="32"/>
          <w:szCs w:val="32"/>
        </w:rPr>
        <w:t>年相比，无增减变化。</w:t>
      </w:r>
    </w:p>
    <w:p>
      <w:pPr>
        <w:keepNext w:val="0"/>
        <w:keepLines w:val="0"/>
        <w:pageBreakBefore w:val="0"/>
        <w:widowControl w:val="0"/>
        <w:kinsoku/>
        <w:wordWrap/>
        <w:overflowPunct/>
        <w:topLinePunct/>
        <w:autoSpaceDE/>
        <w:autoSpaceDN/>
        <w:bidi w:val="0"/>
        <w:adjustRightInd/>
        <w:snapToGrid/>
        <w:spacing w:line="600" w:lineRule="exact"/>
        <w:ind w:firstLine="640"/>
        <w:textAlignment w:val="auto"/>
        <w:rPr>
          <w:rFonts w:hint="eastAsia" w:ascii="仿宋_GB2312" w:eastAsia="仿宋_GB2312"/>
          <w:sz w:val="32"/>
          <w:szCs w:val="32"/>
          <w:highlight w:val="none"/>
          <w:lang w:val="en-US"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1.58万</w:t>
      </w:r>
      <w:r>
        <w:rPr>
          <w:rFonts w:hint="eastAsia" w:ascii="仿宋_GB2312" w:eastAsia="仿宋_GB2312"/>
          <w:sz w:val="32"/>
          <w:szCs w:val="32"/>
        </w:rPr>
        <w:t>元,完成预算</w:t>
      </w:r>
      <w:r>
        <w:rPr>
          <w:rFonts w:hint="eastAsia" w:ascii="仿宋_GB2312" w:eastAsia="仿宋_GB2312"/>
          <w:sz w:val="32"/>
          <w:szCs w:val="32"/>
          <w:lang w:val="en-US" w:eastAsia="zh-CN"/>
        </w:rPr>
        <w:t>24.3</w:t>
      </w:r>
      <w:r>
        <w:rPr>
          <w:rFonts w:hint="eastAsia" w:ascii="仿宋_GB2312" w:eastAsia="仿宋_GB2312"/>
          <w:sz w:val="32"/>
          <w:szCs w:val="32"/>
        </w:rPr>
        <w:t>%。公务用车购置及运行维护费支出决算与202</w:t>
      </w:r>
      <w:r>
        <w:rPr>
          <w:rFonts w:hint="eastAsia" w:ascii="仿宋_GB2312" w:eastAsia="仿宋_GB2312"/>
          <w:sz w:val="32"/>
          <w:szCs w:val="32"/>
          <w:lang w:val="en-US" w:eastAsia="zh-CN"/>
        </w:rPr>
        <w:t>2</w:t>
      </w:r>
      <w:r>
        <w:rPr>
          <w:rFonts w:hint="eastAsia" w:ascii="仿宋_GB2312" w:eastAsia="仿宋_GB2312"/>
          <w:sz w:val="32"/>
          <w:szCs w:val="32"/>
        </w:rPr>
        <w:t>年相比，</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16.83万元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减少原因是</w:t>
      </w:r>
      <w:r>
        <w:rPr>
          <w:rFonts w:hint="eastAsia" w:ascii="仿宋_GB2312" w:eastAsia="仿宋_GB2312"/>
          <w:sz w:val="32"/>
          <w:szCs w:val="32"/>
          <w:highlight w:val="none"/>
          <w:lang w:val="en-US" w:eastAsia="zh-CN"/>
        </w:rPr>
        <w:t>该公务车为2022年新购车辆，2023年无车辆购置费预算。</w:t>
      </w:r>
    </w:p>
    <w:p>
      <w:pPr>
        <w:keepNext w:val="0"/>
        <w:keepLines w:val="0"/>
        <w:pageBreakBefore w:val="0"/>
        <w:widowControl w:val="0"/>
        <w:kinsoku/>
        <w:wordWrap/>
        <w:overflowPunct/>
        <w:topLinePunct/>
        <w:autoSpaceDE/>
        <w:autoSpaceDN/>
        <w:bidi w:val="0"/>
        <w:adjustRightInd/>
        <w:snapToGrid/>
        <w:spacing w:line="600" w:lineRule="exact"/>
        <w:ind w:firstLine="640"/>
        <w:textAlignment w:val="auto"/>
        <w:rPr>
          <w:rFonts w:ascii="仿宋_GB2312" w:eastAsia="仿宋_GB2312"/>
          <w:b/>
          <w:color w:val="auto"/>
          <w:sz w:val="32"/>
          <w:szCs w:val="32"/>
          <w:highlight w:val="none"/>
        </w:rPr>
      </w:pPr>
      <w:r>
        <w:rPr>
          <w:rFonts w:hint="eastAsia" w:ascii="仿宋_GB2312" w:eastAsia="仿宋_GB2312"/>
          <w:sz w:val="32"/>
          <w:szCs w:val="32"/>
        </w:rPr>
        <w:t>其中</w:t>
      </w:r>
      <w:r>
        <w:rPr>
          <w:rFonts w:hint="eastAsia" w:ascii="仿宋_GB2312" w:eastAsia="仿宋_GB2312"/>
          <w:color w:val="auto"/>
          <w:sz w:val="32"/>
          <w:szCs w:val="32"/>
          <w:highlight w:val="none"/>
        </w:rPr>
        <w:t>：</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资助工作业务用车</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keepNext w:val="0"/>
        <w:keepLines w:val="0"/>
        <w:pageBreakBefore w:val="0"/>
        <w:widowControl w:val="0"/>
        <w:kinsoku/>
        <w:wordWrap/>
        <w:overflowPunct/>
        <w:autoSpaceDE/>
        <w:autoSpaceDN/>
        <w:bidi w:val="0"/>
        <w:adjustRightInd/>
        <w:snapToGrid/>
        <w:spacing w:line="600" w:lineRule="exact"/>
        <w:ind w:firstLine="64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1.58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资助业务工作调研、资助工作检查</w:t>
      </w:r>
      <w:r>
        <w:rPr>
          <w:rFonts w:hint="eastAsia" w:ascii="仿宋_GB2312" w:eastAsia="仿宋_GB2312"/>
          <w:color w:val="auto"/>
          <w:sz w:val="32"/>
          <w:szCs w:val="32"/>
          <w:highlight w:val="none"/>
        </w:rPr>
        <w:t>等所需的公务用车燃料费、维修费、过路过桥费、保险费等支出。</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val="en-US" w:eastAsia="zh-CN"/>
        </w:rPr>
      </w:pPr>
      <w:r>
        <w:rPr>
          <w:rFonts w:hint="eastAsia" w:ascii="仿宋_GB2312" w:eastAsia="仿宋_GB2312"/>
          <w:b/>
          <w:bCs/>
          <w:color w:val="auto"/>
          <w:sz w:val="32"/>
          <w:szCs w:val="32"/>
          <w:highlight w:val="none"/>
          <w:lang w:val="en-US" w:eastAsia="zh-CN"/>
        </w:rPr>
        <w:t>3.</w:t>
      </w:r>
      <w:r>
        <w:rPr>
          <w:rFonts w:hint="eastAsia" w:ascii="仿宋_GB2312" w:eastAsia="仿宋_GB2312"/>
          <w:b/>
          <w:sz w:val="32"/>
          <w:szCs w:val="32"/>
        </w:rPr>
        <w:t>公务接待费支出</w:t>
      </w:r>
      <w:r>
        <w:rPr>
          <w:rFonts w:hint="eastAsia"/>
          <w:sz w:val="32"/>
          <w:szCs w:val="32"/>
          <w:lang w:val="en-US" w:eastAsia="zh-CN"/>
        </w:rPr>
        <w:t>0</w:t>
      </w:r>
      <w:r>
        <w:rPr>
          <w:rFonts w:hint="eastAsia" w:ascii="仿宋_GB2312" w:eastAsia="仿宋_GB2312"/>
          <w:sz w:val="32"/>
          <w:szCs w:val="32"/>
        </w:rPr>
        <w:t>元，完成预算</w:t>
      </w:r>
      <w:r>
        <w:rPr>
          <w:rFonts w:hint="eastAsia"/>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公务接待费</w:t>
      </w:r>
      <w:r>
        <w:rPr>
          <w:rFonts w:hint="eastAsia" w:ascii="仿宋_GB2312" w:eastAsia="仿宋_GB2312"/>
          <w:sz w:val="32"/>
          <w:szCs w:val="32"/>
        </w:rPr>
        <w:t>支出决算与</w:t>
      </w:r>
      <w:r>
        <w:rPr>
          <w:rFonts w:hint="eastAsia" w:ascii="仿宋_GB2312" w:eastAsia="仿宋_GB2312"/>
          <w:sz w:val="32"/>
          <w:szCs w:val="32"/>
          <w:lang w:val="en-US" w:eastAsia="zh-CN"/>
        </w:rPr>
        <w:t>2022</w:t>
      </w:r>
      <w:r>
        <w:rPr>
          <w:rFonts w:hint="eastAsia" w:ascii="仿宋_GB2312" w:eastAsia="仿宋_GB2312"/>
          <w:sz w:val="32"/>
          <w:szCs w:val="32"/>
        </w:rPr>
        <w:t>年相比，</w:t>
      </w:r>
      <w:r>
        <w:rPr>
          <w:rFonts w:hint="eastAsia" w:ascii="仿宋_GB2312" w:eastAsia="仿宋_GB2312"/>
          <w:sz w:val="32"/>
          <w:szCs w:val="32"/>
          <w:lang w:eastAsia="zh-CN"/>
        </w:rPr>
        <w:t>无增减变化</w:t>
      </w:r>
      <w:r>
        <w:rPr>
          <w:rFonts w:hint="eastAsia" w:ascii="仿宋_GB2312" w:eastAsia="仿宋_GB2312"/>
          <w:sz w:val="32"/>
          <w:szCs w:val="32"/>
          <w:lang w:val="en-US" w:eastAsia="zh-CN"/>
        </w:rPr>
        <w:t>，主要原因是2023年未发生公务接待活动</w:t>
      </w:r>
      <w:r>
        <w:rPr>
          <w:rFonts w:hint="eastAsia" w:ascii="仿宋_GB2312" w:eastAsia="仿宋_GB2312"/>
          <w:sz w:val="32"/>
          <w:szCs w:val="32"/>
        </w:rPr>
        <w:t>。</w:t>
      </w:r>
      <w:r>
        <w:rPr>
          <w:rFonts w:hint="eastAsia"/>
          <w:lang w:val="en-US" w:eastAsia="zh-CN"/>
        </w:rPr>
        <w:t xml:space="preserve"> </w:t>
      </w:r>
      <w:r>
        <w:rPr>
          <w:rFonts w:hint="eastAsia" w:ascii="仿宋_GB2312" w:eastAsia="仿宋_GB2312"/>
          <w:sz w:val="32"/>
          <w:szCs w:val="32"/>
          <w:lang w:val="en-US" w:eastAsia="zh-CN"/>
        </w:rPr>
        <w:t>其中：国内公务接待支出0万元，外事接待支出0万元。</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outlineLvl w:val="1"/>
        <w:rPr>
          <w:rFonts w:hint="eastAsia" w:ascii="黑体" w:hAnsi="黑体" w:eastAsia="黑体" w:cs="黑体"/>
          <w:kern w:val="0"/>
          <w:sz w:val="32"/>
          <w:szCs w:val="32"/>
        </w:rPr>
      </w:pPr>
      <w:bookmarkStart w:id="61" w:name="_Toc2302"/>
      <w:bookmarkStart w:id="62" w:name="_Toc31992"/>
      <w:bookmarkStart w:id="63" w:name="_Toc20209"/>
      <w:bookmarkStart w:id="64" w:name="_Toc27043"/>
      <w:bookmarkStart w:id="65" w:name="_Toc5584"/>
      <w:bookmarkStart w:id="66" w:name="_Toc114240534"/>
      <w:r>
        <w:rPr>
          <w:rFonts w:hint="eastAsia" w:ascii="黑体" w:hAnsi="黑体" w:eastAsia="黑体" w:cs="黑体"/>
          <w:kern w:val="2"/>
          <w:sz w:val="32"/>
          <w:szCs w:val="32"/>
          <w:lang w:val="en-US" w:eastAsia="zh-CN" w:bidi="ar-SA"/>
        </w:rPr>
        <w:t>八、政府性基金预算支出决算情况说明</w:t>
      </w:r>
      <w:bookmarkEnd w:id="61"/>
      <w:bookmarkEnd w:id="62"/>
      <w:bookmarkEnd w:id="63"/>
      <w:bookmarkEnd w:id="64"/>
      <w:bookmarkEnd w:id="65"/>
      <w:bookmarkEnd w:id="66"/>
    </w:p>
    <w:p>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2023年政府性基金预算财政拨款支出0元。</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outlineLvl w:val="1"/>
        <w:rPr>
          <w:rFonts w:hint="eastAsia" w:ascii="黑体" w:hAnsi="黑体" w:eastAsia="黑体" w:cs="黑体"/>
          <w:kern w:val="2"/>
          <w:sz w:val="32"/>
          <w:szCs w:val="32"/>
          <w:lang w:val="en-US" w:eastAsia="zh-CN" w:bidi="ar-SA"/>
        </w:rPr>
      </w:pPr>
      <w:bookmarkStart w:id="67" w:name="_Toc81996985"/>
      <w:bookmarkStart w:id="68" w:name="_Toc15396611"/>
      <w:bookmarkStart w:id="69" w:name="_Toc15377219"/>
      <w:bookmarkStart w:id="70" w:name="_Toc114240535"/>
      <w:bookmarkStart w:id="71" w:name="_Toc6257"/>
      <w:bookmarkStart w:id="72" w:name="_Toc3743"/>
      <w:bookmarkStart w:id="73" w:name="_Toc6080"/>
      <w:bookmarkStart w:id="74" w:name="_Toc14481"/>
      <w:bookmarkStart w:id="75" w:name="_Toc8712"/>
      <w:bookmarkStart w:id="76" w:name="_Toc81996731"/>
      <w:bookmarkStart w:id="77" w:name="_Toc8682"/>
      <w:r>
        <w:rPr>
          <w:rFonts w:hint="eastAsia" w:ascii="黑体" w:hAnsi="黑体" w:eastAsia="黑体" w:cs="黑体"/>
          <w:kern w:val="2"/>
          <w:sz w:val="32"/>
          <w:szCs w:val="32"/>
          <w:lang w:val="en-US" w:eastAsia="zh-CN" w:bidi="ar-SA"/>
        </w:rPr>
        <w:t>九、国有资本经营预算支出决算情况说明</w:t>
      </w:r>
      <w:bookmarkEnd w:id="67"/>
      <w:bookmarkEnd w:id="68"/>
      <w:bookmarkEnd w:id="69"/>
      <w:bookmarkEnd w:id="70"/>
      <w:bookmarkEnd w:id="71"/>
      <w:bookmarkEnd w:id="72"/>
      <w:bookmarkEnd w:id="73"/>
      <w:bookmarkEnd w:id="74"/>
      <w:bookmarkEnd w:id="75"/>
      <w:bookmarkEnd w:id="76"/>
      <w:bookmarkEnd w:id="77"/>
    </w:p>
    <w:p>
      <w:pPr>
        <w:pStyle w:val="2"/>
        <w:keepNext w:val="0"/>
        <w:keepLines w:val="0"/>
        <w:pageBreakBefore w:val="0"/>
        <w:widowControl w:val="0"/>
        <w:kinsoku/>
        <w:wordWrap/>
        <w:overflowPunct/>
        <w:topLinePunct/>
        <w:autoSpaceDE/>
        <w:autoSpaceDN/>
        <w:bidi w:val="0"/>
        <w:adjustRightInd/>
        <w:snapToGrid/>
        <w:spacing w:beforeLines="0"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eastAsia"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年国有资本经营预算财政拨款支出0元。</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outlineLvl w:val="1"/>
        <w:rPr>
          <w:rFonts w:hint="eastAsia" w:ascii="黑体" w:hAnsi="黑体" w:eastAsia="黑体" w:cs="黑体"/>
          <w:kern w:val="2"/>
          <w:sz w:val="32"/>
          <w:szCs w:val="32"/>
          <w:lang w:val="en-US" w:eastAsia="zh-CN" w:bidi="ar-SA"/>
        </w:rPr>
      </w:pPr>
      <w:bookmarkStart w:id="78" w:name="_Toc81996986"/>
      <w:bookmarkStart w:id="79" w:name="_Toc9109"/>
      <w:bookmarkStart w:id="80" w:name="_Toc9478"/>
      <w:bookmarkStart w:id="81" w:name="_Toc5341"/>
      <w:bookmarkStart w:id="82" w:name="_Toc11842"/>
      <w:bookmarkStart w:id="83" w:name="_Toc81996732"/>
      <w:bookmarkStart w:id="84" w:name="_Toc503"/>
      <w:bookmarkStart w:id="85" w:name="_Toc15281"/>
      <w:bookmarkStart w:id="86" w:name="_Toc114240536"/>
      <w:bookmarkStart w:id="87" w:name="_Toc15396612"/>
      <w:bookmarkStart w:id="88" w:name="_Toc15377221"/>
      <w:r>
        <w:rPr>
          <w:rFonts w:hint="eastAsia" w:ascii="黑体" w:hAnsi="黑体" w:eastAsia="黑体" w:cs="黑体"/>
          <w:kern w:val="2"/>
          <w:sz w:val="32"/>
          <w:szCs w:val="32"/>
          <w:lang w:val="en-US" w:eastAsia="zh-CN" w:bidi="ar-SA"/>
        </w:rPr>
        <w:t>十、其他重要事项的情况说明</w:t>
      </w:r>
      <w:bookmarkEnd w:id="78"/>
      <w:bookmarkEnd w:id="79"/>
      <w:bookmarkEnd w:id="80"/>
      <w:bookmarkEnd w:id="81"/>
      <w:bookmarkEnd w:id="82"/>
      <w:bookmarkEnd w:id="83"/>
      <w:bookmarkEnd w:id="84"/>
      <w:bookmarkEnd w:id="85"/>
      <w:bookmarkEnd w:id="86"/>
      <w:bookmarkEnd w:id="87"/>
      <w:bookmarkEnd w:id="88"/>
    </w:p>
    <w:p>
      <w:pPr>
        <w:pStyle w:val="2"/>
        <w:keepNext w:val="0"/>
        <w:keepLines w:val="0"/>
        <w:pageBreakBefore w:val="0"/>
        <w:widowControl w:val="0"/>
        <w:tabs>
          <w:tab w:val="left" w:pos="2053"/>
        </w:tabs>
        <w:kinsoku/>
        <w:wordWrap/>
        <w:overflowPunct/>
        <w:topLinePunct/>
        <w:autoSpaceDE/>
        <w:autoSpaceDN/>
        <w:bidi w:val="0"/>
        <w:adjustRightInd/>
        <w:snapToGrid/>
        <w:spacing w:beforeLines="0" w:line="600" w:lineRule="exact"/>
        <w:ind w:left="420" w:leftChars="200" w:firstLine="320" w:firstLineChars="100"/>
        <w:textAlignment w:val="auto"/>
        <w:outlineLvl w:val="2"/>
        <w:rPr>
          <w:rFonts w:hint="eastAsia" w:ascii="楷体_GB2312" w:hAnsi="仿宋" w:eastAsia="楷体_GB2312"/>
          <w:sz w:val="32"/>
          <w:szCs w:val="32"/>
        </w:rPr>
      </w:pPr>
      <w:bookmarkStart w:id="89" w:name="_Toc9233"/>
      <w:bookmarkStart w:id="90" w:name="_Toc11588"/>
      <w:r>
        <w:rPr>
          <w:rFonts w:hint="eastAsia" w:ascii="楷体_GB2312" w:hAnsi="仿宋" w:eastAsia="楷体_GB2312"/>
          <w:sz w:val="32"/>
          <w:szCs w:val="32"/>
        </w:rPr>
        <w:t>（一）机关运行经费支出情况</w:t>
      </w:r>
      <w:bookmarkEnd w:id="89"/>
      <w:bookmarkEnd w:id="90"/>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年度机关运行经费支出0元</w:t>
      </w:r>
      <w:r>
        <w:rPr>
          <w:rFonts w:hint="eastAsia" w:ascii="仿宋_GB2312" w:eastAsia="仿宋_GB2312"/>
          <w:sz w:val="32"/>
          <w:szCs w:val="32"/>
        </w:rPr>
        <w:t>。</w:t>
      </w:r>
    </w:p>
    <w:p>
      <w:pPr>
        <w:keepNext w:val="0"/>
        <w:keepLines w:val="0"/>
        <w:pageBreakBefore w:val="0"/>
        <w:widowControl w:val="0"/>
        <w:numPr>
          <w:ilvl w:val="0"/>
          <w:numId w:val="4"/>
        </w:numPr>
        <w:kinsoku/>
        <w:wordWrap/>
        <w:overflowPunct/>
        <w:topLinePunct/>
        <w:autoSpaceDE/>
        <w:autoSpaceDN/>
        <w:bidi w:val="0"/>
        <w:adjustRightInd/>
        <w:snapToGrid/>
        <w:spacing w:line="600" w:lineRule="exact"/>
        <w:ind w:left="480" w:leftChars="0" w:firstLine="0" w:firstLineChars="0"/>
        <w:textAlignment w:val="auto"/>
        <w:outlineLvl w:val="2"/>
        <w:rPr>
          <w:rFonts w:hint="eastAsia" w:ascii="楷体_GB2312" w:hAnsi="仿宋" w:eastAsia="楷体_GB2312" w:cs="Times New Roman"/>
          <w:kern w:val="0"/>
          <w:sz w:val="32"/>
          <w:szCs w:val="32"/>
          <w:lang w:val="en-US" w:eastAsia="zh-CN" w:bidi="ar-SA"/>
        </w:rPr>
      </w:pPr>
      <w:bookmarkStart w:id="91" w:name="_Toc6846"/>
      <w:r>
        <w:rPr>
          <w:rFonts w:hint="eastAsia" w:ascii="楷体_GB2312" w:hAnsi="仿宋" w:eastAsia="楷体_GB2312" w:cs="Times New Roman"/>
          <w:kern w:val="0"/>
          <w:sz w:val="32"/>
          <w:szCs w:val="32"/>
          <w:lang w:val="en-US" w:eastAsia="zh-CN" w:bidi="ar-SA"/>
        </w:rPr>
        <w:t>政府采购支出情况</w:t>
      </w:r>
      <w:bookmarkEnd w:id="91"/>
    </w:p>
    <w:p>
      <w:pPr>
        <w:pStyle w:val="2"/>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年度政府采购支出总额</w:t>
      </w:r>
      <w:r>
        <w:rPr>
          <w:rFonts w:hint="eastAsia" w:hAnsi="仿宋_GB2312" w:cs="仿宋_GB2312"/>
          <w:sz w:val="32"/>
          <w:szCs w:val="32"/>
          <w:lang w:val="en-US" w:eastAsia="zh-CN"/>
        </w:rPr>
        <w:t>106511.03</w:t>
      </w:r>
      <w:r>
        <w:rPr>
          <w:rFonts w:hint="eastAsia" w:ascii="仿宋_GB2312" w:hAnsi="仿宋_GB2312" w:eastAsia="仿宋_GB2312" w:cs="仿宋_GB2312"/>
          <w:sz w:val="32"/>
          <w:szCs w:val="32"/>
          <w:lang w:val="en-US" w:eastAsia="zh-CN"/>
        </w:rPr>
        <w:t>万元，其中：政府采购货物支出</w:t>
      </w:r>
      <w:r>
        <w:rPr>
          <w:rFonts w:hint="eastAsia" w:hAnsi="仿宋_GB2312" w:cs="仿宋_GB2312"/>
          <w:sz w:val="32"/>
          <w:szCs w:val="32"/>
          <w:lang w:val="en-US" w:eastAsia="zh-CN"/>
        </w:rPr>
        <w:t>106509.45</w:t>
      </w:r>
      <w:r>
        <w:rPr>
          <w:rFonts w:hint="eastAsia" w:ascii="仿宋_GB2312" w:hAnsi="仿宋_GB2312" w:eastAsia="仿宋_GB2312" w:cs="仿宋_GB2312"/>
          <w:sz w:val="32"/>
          <w:szCs w:val="32"/>
          <w:lang w:val="en-US" w:eastAsia="zh-CN"/>
        </w:rPr>
        <w:t>万元，主要用于义务教育阶段免费教科书采购</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办公设备购置</w:t>
      </w:r>
      <w:r>
        <w:rPr>
          <w:rFonts w:hint="eastAsia" w:hAnsi="仿宋_GB2312" w:cs="仿宋_GB2312"/>
          <w:sz w:val="32"/>
          <w:szCs w:val="32"/>
          <w:lang w:val="en-US" w:eastAsia="zh-CN"/>
        </w:rPr>
        <w:t>以及公务用车运行维护费</w:t>
      </w:r>
      <w:r>
        <w:rPr>
          <w:rFonts w:hint="eastAsia" w:ascii="仿宋_GB2312" w:hAnsi="仿宋_GB2312" w:eastAsia="仿宋_GB2312" w:cs="仿宋_GB2312"/>
          <w:sz w:val="32"/>
          <w:szCs w:val="32"/>
          <w:lang w:val="en-US" w:eastAsia="zh-CN"/>
        </w:rPr>
        <w:t>。授予中小企业合同金额</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万元，占政府采购支出总额的</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%，其中授予小微企业合同金额</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万元，占政府采购支出总额的</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autoSpaceDE/>
        <w:autoSpaceDN/>
        <w:bidi w:val="0"/>
        <w:adjustRightInd/>
        <w:snapToGrid/>
        <w:spacing w:line="600" w:lineRule="exact"/>
        <w:ind w:left="480" w:leftChars="0"/>
        <w:textAlignment w:val="auto"/>
        <w:outlineLvl w:val="2"/>
        <w:rPr>
          <w:rFonts w:hint="default"/>
          <w:lang w:val="en-US" w:eastAsia="zh-CN"/>
        </w:rPr>
      </w:pPr>
      <w:bookmarkStart w:id="92" w:name="_Toc29832"/>
      <w:r>
        <w:rPr>
          <w:rFonts w:hint="eastAsia" w:ascii="楷体_GB2312" w:hAnsi="仿宋" w:eastAsia="楷体_GB2312" w:cs="Times New Roman"/>
          <w:kern w:val="0"/>
          <w:sz w:val="32"/>
          <w:szCs w:val="32"/>
          <w:lang w:val="en-US" w:eastAsia="zh-CN" w:bidi="ar-SA"/>
        </w:rPr>
        <w:t>（三）国有资产占有使用情况</w:t>
      </w:r>
      <w:bookmarkEnd w:id="92"/>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240" w:lineRule="auto"/>
        <w:textAlignment w:val="auto"/>
        <w:outlineLvl w:val="2"/>
        <w:rPr>
          <w:rFonts w:hint="default" w:ascii="仿宋_GB2312" w:eastAsia="仿宋_GB2312"/>
          <w:color w:val="auto"/>
          <w:sz w:val="32"/>
          <w:szCs w:val="32"/>
          <w:highlight w:val="none"/>
          <w:lang w:val="en-US" w:eastAsia="zh-CN"/>
        </w:rPr>
      </w:pPr>
      <w:r>
        <w:rPr>
          <w:rFonts w:hint="eastAsia" w:ascii="楷体_GB2312" w:hAnsi="仿宋" w:eastAsia="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bookmarkStart w:id="93" w:name="_Toc28076"/>
      <w:r>
        <w:rPr>
          <w:rFonts w:hint="eastAsia" w:ascii="仿宋_GB2312" w:hAnsi="仿宋_GB2312" w:eastAsia="仿宋_GB2312" w:cs="仿宋_GB2312"/>
          <w:sz w:val="32"/>
          <w:szCs w:val="32"/>
          <w:lang w:val="en-US" w:eastAsia="zh-CN"/>
        </w:rPr>
        <w:t>截至202</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年12月31日，四川省学生资助管理中心共有车辆1辆</w:t>
      </w:r>
      <w:r>
        <w:rPr>
          <w:rFonts w:hint="eastAsia" w:hAnsi="仿宋_GB2312" w:cs="仿宋_GB2312"/>
          <w:sz w:val="32"/>
          <w:szCs w:val="32"/>
          <w:lang w:val="en-US" w:eastAsia="zh-CN"/>
        </w:rPr>
        <w:t>，主要用于资助业务工作。本单位无</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color w:val="auto"/>
          <w:sz w:val="32"/>
          <w:szCs w:val="32"/>
          <w:highlight w:val="none"/>
          <w:lang w:eastAsia="zh-CN"/>
        </w:rPr>
        <w:t>和</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bookmarkEnd w:id="93"/>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240" w:lineRule="auto"/>
        <w:ind w:firstLine="640" w:firstLineChars="200"/>
        <w:textAlignment w:val="auto"/>
        <w:outlineLvl w:val="2"/>
        <w:rPr>
          <w:rFonts w:hint="default" w:ascii="楷体_GB2312" w:hAnsi="仿宋" w:eastAsia="楷体_GB2312"/>
          <w:sz w:val="32"/>
          <w:szCs w:val="32"/>
          <w:lang w:val="en-US" w:eastAsia="zh-CN"/>
        </w:rPr>
      </w:pPr>
      <w:bookmarkStart w:id="94" w:name="_Toc28394"/>
      <w:r>
        <w:rPr>
          <w:rFonts w:hint="default" w:ascii="楷体_GB2312" w:hAnsi="仿宋" w:eastAsia="楷体_GB2312"/>
          <w:sz w:val="32"/>
          <w:szCs w:val="32"/>
          <w:lang w:val="en-US" w:eastAsia="zh-CN"/>
        </w:rPr>
        <w:t>（四）预算绩效管理情况</w:t>
      </w:r>
      <w:bookmarkEnd w:id="94"/>
    </w:p>
    <w:p>
      <w:pPr>
        <w:pStyle w:val="2"/>
        <w:keepNext w:val="0"/>
        <w:keepLines w:val="0"/>
        <w:pageBreakBefore w:val="0"/>
        <w:widowControl w:val="0"/>
        <w:numPr>
          <w:ilvl w:val="0"/>
          <w:numId w:val="0"/>
        </w:numPr>
        <w:tabs>
          <w:tab w:val="left" w:pos="2053"/>
        </w:tabs>
        <w:kinsoku/>
        <w:wordWrap/>
        <w:overflowPunct/>
        <w:topLinePunct/>
        <w:autoSpaceDE/>
        <w:autoSpaceDN/>
        <w:bidi w:val="0"/>
        <w:adjustRightInd/>
        <w:snapToGrid/>
        <w:spacing w:beforeLines="0" w:line="240" w:lineRule="auto"/>
        <w:ind w:firstLine="640" w:firstLineChars="200"/>
        <w:textAlignment w:val="auto"/>
        <w:outlineLvl w:val="2"/>
        <w:rPr>
          <w:rFonts w:hint="eastAsia" w:ascii="仿宋_GB2312" w:hAnsi="仿宋_GB2312" w:eastAsia="仿宋_GB2312" w:cs="仿宋_GB2312"/>
          <w:sz w:val="32"/>
          <w:szCs w:val="32"/>
          <w:lang w:val="en-US" w:eastAsia="zh-CN"/>
        </w:rPr>
      </w:pPr>
      <w:bookmarkStart w:id="95" w:name="_Toc25763"/>
      <w:r>
        <w:rPr>
          <w:rFonts w:hint="eastAsia" w:ascii="仿宋_GB2312" w:hAnsi="仿宋_GB2312" w:eastAsia="仿宋_GB2312" w:cs="仿宋_GB2312"/>
          <w:sz w:val="32"/>
          <w:szCs w:val="32"/>
          <w:lang w:val="en-US" w:eastAsia="zh-CN"/>
        </w:rPr>
        <w:t>根据预算绩效管理要求，本单位在202</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预算编制阶段，共预算编制3个项目，分别是：贷款还本付息、学生资助经费、学生资助经费（免费教科书）。3个项目均未开展预算事前绩效评估，对2个项目编制了绩效目标，预算执行过程中，选取2个项目开展绩效监控，组织对2个项目开展绩效自评，绩效自评表详见第四部分附件。</w:t>
      </w:r>
      <w:bookmarkEnd w:id="95"/>
    </w:p>
    <w:p>
      <w:pPr>
        <w:pStyle w:val="2"/>
        <w:keepNext w:val="0"/>
        <w:keepLines w:val="0"/>
        <w:pageBreakBefore w:val="0"/>
        <w:widowControl w:val="0"/>
        <w:numPr>
          <w:ilvl w:val="0"/>
          <w:numId w:val="5"/>
        </w:numPr>
        <w:kinsoku/>
        <w:wordWrap/>
        <w:overflowPunct/>
        <w:autoSpaceDE/>
        <w:autoSpaceDN/>
        <w:bidi w:val="0"/>
        <w:adjustRightInd/>
        <w:snapToGrid/>
        <w:spacing w:line="600" w:lineRule="exact"/>
        <w:ind w:left="480" w:leftChars="0"/>
        <w:textAlignment w:val="auto"/>
        <w:outlineLvl w:val="2"/>
        <w:rPr>
          <w:rFonts w:hint="eastAsia" w:ascii="楷体_GB2312" w:hAnsi="仿宋" w:eastAsia="楷体_GB2312" w:cs="Times New Roman"/>
          <w:kern w:val="0"/>
          <w:sz w:val="32"/>
          <w:szCs w:val="32"/>
          <w:highlight w:val="none"/>
          <w:lang w:val="en-US" w:eastAsia="zh-CN" w:bidi="ar-SA"/>
        </w:rPr>
      </w:pPr>
      <w:r>
        <w:rPr>
          <w:rFonts w:hint="eastAsia" w:ascii="楷体_GB2312" w:hAnsi="仿宋" w:eastAsia="楷体_GB2312" w:cs="Times New Roman"/>
          <w:kern w:val="0"/>
          <w:sz w:val="32"/>
          <w:szCs w:val="32"/>
          <w:highlight w:val="none"/>
          <w:lang w:val="en-US" w:eastAsia="zh-CN" w:bidi="ar-SA"/>
        </w:rPr>
        <w:t>债务还本支出项目情况</w:t>
      </w:r>
    </w:p>
    <w:p>
      <w:pPr>
        <w:pStyle w:val="2"/>
        <w:keepNext w:val="0"/>
        <w:keepLines w:val="0"/>
        <w:pageBreakBefore w:val="0"/>
        <w:widowControl w:val="0"/>
        <w:numPr>
          <w:ilvl w:val="0"/>
          <w:numId w:val="0"/>
        </w:numPr>
        <w:kinsoku/>
        <w:wordWrap/>
        <w:overflowPunct/>
        <w:autoSpaceDE/>
        <w:autoSpaceDN/>
        <w:bidi w:val="0"/>
        <w:adjustRightInd/>
        <w:snapToGrid/>
        <w:spacing w:line="600" w:lineRule="exact"/>
        <w:textAlignment w:val="auto"/>
        <w:outlineLvl w:val="2"/>
        <w:rPr>
          <w:rFonts w:hint="default" w:ascii="仿宋_GB2312" w:hAnsi="仿宋_GB2312" w:eastAsia="仿宋_GB2312" w:cs="仿宋_GB2312"/>
          <w:sz w:val="32"/>
          <w:szCs w:val="32"/>
          <w:highlight w:val="none"/>
          <w:lang w:val="en-US" w:eastAsia="zh-CN"/>
        </w:rPr>
      </w:pPr>
      <w:r>
        <w:rPr>
          <w:rFonts w:hint="eastAsia" w:ascii="楷体_GB2312" w:hAnsi="仿宋" w:eastAsia="楷体_GB2312" w:cs="Times New Roman"/>
          <w:kern w:val="0"/>
          <w:sz w:val="32"/>
          <w:szCs w:val="32"/>
          <w:highlight w:val="none"/>
          <w:lang w:val="en-US" w:eastAsia="zh-CN" w:bidi="ar-SA"/>
        </w:rPr>
        <w:t xml:space="preserve"> </w:t>
      </w:r>
      <w:r>
        <w:rPr>
          <w:rFonts w:hint="eastAsia" w:ascii="仿宋_GB2312" w:hAnsi="仿宋_GB2312" w:eastAsia="仿宋_GB2312" w:cs="仿宋_GB2312"/>
          <w:sz w:val="32"/>
          <w:szCs w:val="32"/>
          <w:highlight w:val="none"/>
          <w:lang w:val="en-US" w:eastAsia="zh-CN"/>
        </w:rPr>
        <w:t xml:space="preserve">   2023年本单位债务还本支出年初预算350万元，并进行了预算公开，经预算调整后，2023年该科目预算为317万元，实际支出178.74万元。因该项目为债务还本支付，决算数据由财政厅报送，故本单位决算数据中不包含该资金。</w:t>
      </w:r>
    </w:p>
    <w:p>
      <w:pPr>
        <w:topLinePunct/>
        <w:spacing w:line="800" w:lineRule="exact"/>
        <w:jc w:val="center"/>
        <w:outlineLvl w:val="0"/>
        <w:rPr>
          <w:rFonts w:hint="eastAsia" w:ascii="方正小标宋简体" w:hAnsi="黑体" w:eastAsia="方正小标宋简体" w:cs="黑体"/>
          <w:sz w:val="44"/>
          <w:szCs w:val="44"/>
        </w:rPr>
      </w:pPr>
      <w:bookmarkStart w:id="96" w:name="_Toc114240537"/>
      <w:bookmarkStart w:id="97" w:name="_Toc6346"/>
    </w:p>
    <w:p>
      <w:pPr>
        <w:topLinePunct/>
        <w:spacing w:line="800" w:lineRule="exact"/>
        <w:jc w:val="center"/>
        <w:outlineLvl w:val="0"/>
        <w:rPr>
          <w:rFonts w:ascii="方正小标宋简体" w:hAnsi="黑体" w:eastAsia="方正小标宋简体" w:cs="黑体"/>
          <w:sz w:val="44"/>
          <w:szCs w:val="44"/>
        </w:rPr>
      </w:pPr>
      <w:r>
        <w:rPr>
          <w:rFonts w:hint="eastAsia" w:ascii="方正小标宋简体" w:hAnsi="黑体" w:eastAsia="方正小标宋简体" w:cs="黑体"/>
          <w:sz w:val="44"/>
          <w:szCs w:val="44"/>
        </w:rPr>
        <w:t>第三部分 名词解释</w:t>
      </w:r>
      <w:bookmarkEnd w:id="96"/>
      <w:bookmarkEnd w:id="97"/>
    </w:p>
    <w:p>
      <w:pPr>
        <w:topLinePunct/>
        <w:spacing w:line="566" w:lineRule="exact"/>
        <w:rPr>
          <w:rFonts w:ascii="宋体"/>
          <w:b/>
          <w:color w:val="000000"/>
          <w:sz w:val="44"/>
          <w:szCs w:val="44"/>
        </w:rPr>
      </w:pPr>
    </w:p>
    <w:p>
      <w:pPr>
        <w:pStyle w:val="14"/>
        <w:topLinePunct/>
        <w:autoSpaceDN/>
        <w:spacing w:line="566" w:lineRule="exact"/>
        <w:ind w:firstLine="640" w:firstLineChars="200"/>
        <w:jc w:val="both"/>
        <w:rPr>
          <w:rFonts w:ascii="仿宋_GB2312" w:eastAsia="仿宋_GB2312"/>
          <w:color w:val="auto"/>
          <w:sz w:val="32"/>
          <w:szCs w:val="32"/>
        </w:rPr>
      </w:pPr>
      <w:r>
        <w:rPr>
          <w:rFonts w:hint="eastAsia" w:ascii="仿宋_GB2312" w:eastAsia="仿宋_GB2312"/>
          <w:sz w:val="32"/>
          <w:szCs w:val="32"/>
        </w:rPr>
        <w:t>1.财政拨款收入：</w:t>
      </w:r>
      <w:r>
        <w:rPr>
          <w:rFonts w:hint="eastAsia" w:ascii="仿宋_GB2312" w:eastAsia="仿宋_GB2312"/>
          <w:color w:val="auto"/>
          <w:sz w:val="32"/>
          <w:szCs w:val="32"/>
        </w:rPr>
        <w:t>指单位从同级财政部门取得的财政预算资金</w:t>
      </w:r>
      <w:r>
        <w:rPr>
          <w:rFonts w:hint="eastAsia" w:ascii="仿宋_GB2312" w:eastAsia="仿宋_GB2312"/>
          <w:sz w:val="32"/>
          <w:szCs w:val="32"/>
        </w:rPr>
        <w:t>。</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rPr>
        <w:t xml:space="preserve">2.其他收入：指除上述“财政拨款收入”“事业收入”“经营收入”等以外的收入。主要是捐赠收入、利息收入等。 </w:t>
      </w:r>
    </w:p>
    <w:p>
      <w:pPr>
        <w:pStyle w:val="14"/>
        <w:topLinePunct/>
        <w:autoSpaceDN/>
        <w:spacing w:line="566" w:lineRule="exact"/>
        <w:ind w:firstLine="640" w:firstLineChars="200"/>
        <w:jc w:val="both"/>
        <w:rPr>
          <w:rFonts w:hint="eastAsia" w:ascii="仿宋_GB2312" w:eastAsia="仿宋_GB2312"/>
          <w:color w:val="auto"/>
          <w:sz w:val="32"/>
          <w:szCs w:val="32"/>
        </w:rPr>
      </w:pPr>
      <w:r>
        <w:rPr>
          <w:rFonts w:hint="eastAsia" w:ascii="仿宋_GB2312" w:eastAsia="仿宋_GB2312"/>
          <w:sz w:val="32"/>
          <w:szCs w:val="32"/>
        </w:rPr>
        <w:t>3.</w:t>
      </w:r>
      <w:r>
        <w:rPr>
          <w:rFonts w:hint="eastAsia" w:ascii="仿宋_GB2312" w:eastAsia="仿宋_GB2312"/>
          <w:color w:val="auto"/>
          <w:sz w:val="32"/>
          <w:szCs w:val="32"/>
        </w:rPr>
        <w:t>使用非财政拨款结余：指事业单位使用以前年度积累的非财政拨款结余弥补当年收支差额的金额。</w:t>
      </w:r>
    </w:p>
    <w:p>
      <w:pPr>
        <w:pStyle w:val="14"/>
        <w:topLinePunct/>
        <w:autoSpaceDN/>
        <w:spacing w:line="566" w:lineRule="exact"/>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4.一般公共服务（类）其他一般公共服务支出（款）其他一般公共服务支出（项）：指其他一般公共服务支出。</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.教育支出（类）普通教育（款）小学教育（项）：反映本单位用于免费教科书项目支出。</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xml:space="preserve">.教育支出（类）普通教育（款）高等教育（项）：反映本单位用于高等学校学生资助经费项目支出。 </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 xml:space="preserve">.教育支出（类）普通教育（款）其他普通教育支出（项）：反映本单位为保障机构正常运转、完成日常工作任务而发生的人员支出和公用支出。 </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.教育支出（类）其他教育支出（款）其他教育支出（项）：反映本单位为保障机构正常运转、完成日常工作任务而发生的人员支出和公用支出。。</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.社会保障和就业支出（类）行政事业单位养老支出（款）机关事业单位基本养老保险缴费支出（项）：反映机关事业单位实施养老保险制度由单位缴纳的基本保险费支出。</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 xml:space="preserve">.社会保障和就业支出（类）行政事业单位养老支出（款）机关事业单位职业年金缴费支出（项）：反映机关事业单位实施养老保险制度由单位实际缴纳的职业年金支出。 </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 xml:space="preserve">.卫生健康支出（类）行政事业单位医疗（款）事业单位医疗（项）：反映财政部门集中安排的事业单位基本医疗保险缴费。 </w:t>
      </w:r>
    </w:p>
    <w:p>
      <w:pPr>
        <w:pStyle w:val="14"/>
        <w:topLinePunct/>
        <w:autoSpaceDN/>
        <w:spacing w:line="566"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.住房保障支出（类）住房改革支出（款）住房公积金（项）：反映事业单位按人力资源和社会保障</w:t>
      </w:r>
      <w:r>
        <w:rPr>
          <w:rFonts w:hint="eastAsia" w:ascii="仿宋_GB2312" w:eastAsia="仿宋_GB2312"/>
          <w:sz w:val="32"/>
          <w:szCs w:val="32"/>
          <w:lang w:eastAsia="zh-CN"/>
        </w:rPr>
        <w:t>部</w:t>
      </w:r>
      <w:r>
        <w:rPr>
          <w:rFonts w:hint="eastAsia" w:ascii="仿宋_GB2312" w:eastAsia="仿宋_GB2312"/>
          <w:sz w:val="32"/>
          <w:szCs w:val="32"/>
        </w:rPr>
        <w:t>、财政部规定的基本工资和津贴补贴以及规定比例为职工缴纳的住房公积金。</w:t>
      </w:r>
    </w:p>
    <w:p>
      <w:pPr>
        <w:topLinePunct/>
        <w:spacing w:line="56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topLinePunct/>
        <w:spacing w:line="56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项目支出：指在基本支出之外为完成特定任务和事业发展目标所发生的支出。</w:t>
      </w:r>
    </w:p>
    <w:p>
      <w:pPr>
        <w:pStyle w:val="14"/>
        <w:topLinePunct/>
        <w:autoSpaceDN/>
        <w:spacing w:line="566" w:lineRule="exact"/>
        <w:ind w:firstLine="640" w:firstLineChars="200"/>
        <w:jc w:val="both"/>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opLinePunct/>
        <w:spacing w:line="800" w:lineRule="exact"/>
        <w:jc w:val="center"/>
        <w:outlineLvl w:val="0"/>
        <w:rPr>
          <w:rFonts w:hint="eastAsia" w:ascii="方正小标宋简体" w:hAnsi="黑体" w:eastAsia="方正小标宋简体" w:cs="黑体"/>
          <w:sz w:val="44"/>
          <w:szCs w:val="44"/>
          <w:lang w:val="en-US" w:eastAsia="zh-CN"/>
        </w:rPr>
      </w:pPr>
      <w:bookmarkStart w:id="98" w:name="_Toc30542"/>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p>
    <w:p>
      <w:pPr>
        <w:topLinePunct/>
        <w:spacing w:line="800" w:lineRule="exact"/>
        <w:jc w:val="center"/>
        <w:outlineLvl w:val="0"/>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lang w:val="en-US" w:eastAsia="zh-CN"/>
        </w:rPr>
        <w:t>第四部分 附件</w:t>
      </w:r>
      <w:bookmarkEnd w:id="98"/>
    </w:p>
    <w:p>
      <w:pPr>
        <w:pStyle w:val="2"/>
      </w:pPr>
      <w:r>
        <w:drawing>
          <wp:inline distT="0" distB="0" distL="114300" distR="114300">
            <wp:extent cx="5740400" cy="7056120"/>
            <wp:effectExtent l="0" t="0" r="12700" b="1143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2"/>
                    <a:stretch>
                      <a:fillRect/>
                    </a:stretch>
                  </pic:blipFill>
                  <pic:spPr>
                    <a:xfrm>
                      <a:off x="0" y="0"/>
                      <a:ext cx="5740400" cy="7056120"/>
                    </a:xfrm>
                    <a:prstGeom prst="rect">
                      <a:avLst/>
                    </a:prstGeom>
                    <a:noFill/>
                    <a:ln>
                      <a:noFill/>
                    </a:ln>
                  </pic:spPr>
                </pic:pic>
              </a:graphicData>
            </a:graphic>
          </wp:inline>
        </w:drawing>
      </w:r>
    </w:p>
    <w:p>
      <w:pPr>
        <w:pStyle w:val="2"/>
      </w:pPr>
    </w:p>
    <w:p>
      <w:pPr>
        <w:pStyle w:val="2"/>
      </w:pPr>
      <w:r>
        <w:drawing>
          <wp:inline distT="0" distB="0" distL="114300" distR="114300">
            <wp:extent cx="5812155" cy="8106410"/>
            <wp:effectExtent l="0" t="0" r="17145" b="889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3"/>
                    <a:stretch>
                      <a:fillRect/>
                    </a:stretch>
                  </pic:blipFill>
                  <pic:spPr>
                    <a:xfrm>
                      <a:off x="0" y="0"/>
                      <a:ext cx="5812155" cy="8106410"/>
                    </a:xfrm>
                    <a:prstGeom prst="rect">
                      <a:avLst/>
                    </a:prstGeom>
                    <a:noFill/>
                    <a:ln>
                      <a:noFill/>
                    </a:ln>
                  </pic:spPr>
                </pic:pic>
              </a:graphicData>
            </a:graphic>
          </wp:inline>
        </w:drawing>
      </w:r>
    </w:p>
    <w:p>
      <w:pPr>
        <w:pStyle w:val="2"/>
      </w:pPr>
      <w:r>
        <w:drawing>
          <wp:inline distT="0" distB="0" distL="114300" distR="114300">
            <wp:extent cx="5864860" cy="7466330"/>
            <wp:effectExtent l="0" t="0" r="2540" b="127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4"/>
                    <a:stretch>
                      <a:fillRect/>
                    </a:stretch>
                  </pic:blipFill>
                  <pic:spPr>
                    <a:xfrm>
                      <a:off x="0" y="0"/>
                      <a:ext cx="5864860" cy="7466330"/>
                    </a:xfrm>
                    <a:prstGeom prst="rect">
                      <a:avLst/>
                    </a:prstGeom>
                    <a:noFill/>
                    <a:ln>
                      <a:noFill/>
                    </a:ln>
                  </pic:spPr>
                </pic:pic>
              </a:graphicData>
            </a:graphic>
          </wp:inline>
        </w:drawing>
      </w:r>
    </w:p>
    <w:p>
      <w:pPr>
        <w:pStyle w:val="2"/>
      </w:pPr>
      <w:r>
        <w:drawing>
          <wp:inline distT="0" distB="0" distL="114300" distR="114300">
            <wp:extent cx="5899150" cy="7620000"/>
            <wp:effectExtent l="0" t="0" r="635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5"/>
                    <a:stretch>
                      <a:fillRect/>
                    </a:stretch>
                  </pic:blipFill>
                  <pic:spPr>
                    <a:xfrm>
                      <a:off x="0" y="0"/>
                      <a:ext cx="5899150" cy="7620000"/>
                    </a:xfrm>
                    <a:prstGeom prst="rect">
                      <a:avLst/>
                    </a:prstGeom>
                    <a:noFill/>
                    <a:ln>
                      <a:noFill/>
                    </a:ln>
                  </pic:spPr>
                </pic:pic>
              </a:graphicData>
            </a:graphic>
          </wp:inline>
        </w:drawing>
      </w:r>
    </w:p>
    <w:p>
      <w:pPr>
        <w:pStyle w:val="2"/>
      </w:pPr>
      <w:r>
        <w:drawing>
          <wp:inline distT="0" distB="0" distL="114300" distR="114300">
            <wp:extent cx="5941695" cy="7741920"/>
            <wp:effectExtent l="0" t="0" r="1905" b="1143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6"/>
                    <a:stretch>
                      <a:fillRect/>
                    </a:stretch>
                  </pic:blipFill>
                  <pic:spPr>
                    <a:xfrm>
                      <a:off x="0" y="0"/>
                      <a:ext cx="5941695" cy="7741920"/>
                    </a:xfrm>
                    <a:prstGeom prst="rect">
                      <a:avLst/>
                    </a:prstGeom>
                    <a:noFill/>
                    <a:ln>
                      <a:noFill/>
                    </a:ln>
                  </pic:spPr>
                </pic:pic>
              </a:graphicData>
            </a:graphic>
          </wp:inline>
        </w:drawing>
      </w:r>
    </w:p>
    <w:p>
      <w:pPr>
        <w:pStyle w:val="2"/>
        <w:rPr>
          <w:rFonts w:hint="eastAsia" w:ascii="方正小标宋简体" w:hAnsi="黑体" w:eastAsia="方正小标宋简体" w:cs="黑体"/>
          <w:sz w:val="44"/>
          <w:szCs w:val="44"/>
        </w:rPr>
      </w:pPr>
      <w:r>
        <w:drawing>
          <wp:inline distT="0" distB="0" distL="114300" distR="114300">
            <wp:extent cx="5591175" cy="7863205"/>
            <wp:effectExtent l="0" t="0" r="9525" b="444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7"/>
                    <a:stretch>
                      <a:fillRect/>
                    </a:stretch>
                  </pic:blipFill>
                  <pic:spPr>
                    <a:xfrm>
                      <a:off x="0" y="0"/>
                      <a:ext cx="5591175" cy="7863205"/>
                    </a:xfrm>
                    <a:prstGeom prst="rect">
                      <a:avLst/>
                    </a:prstGeom>
                    <a:noFill/>
                    <a:ln>
                      <a:noFill/>
                    </a:ln>
                  </pic:spPr>
                </pic:pic>
              </a:graphicData>
            </a:graphic>
          </wp:inline>
        </w:drawing>
      </w:r>
      <w:r>
        <w:drawing>
          <wp:inline distT="0" distB="0" distL="114300" distR="114300">
            <wp:extent cx="5725160" cy="7966710"/>
            <wp:effectExtent l="0" t="0" r="8890" b="1524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8"/>
                    <a:stretch>
                      <a:fillRect/>
                    </a:stretch>
                  </pic:blipFill>
                  <pic:spPr>
                    <a:xfrm>
                      <a:off x="0" y="0"/>
                      <a:ext cx="5725160" cy="7966710"/>
                    </a:xfrm>
                    <a:prstGeom prst="rect">
                      <a:avLst/>
                    </a:prstGeom>
                    <a:noFill/>
                    <a:ln>
                      <a:noFill/>
                    </a:ln>
                  </pic:spPr>
                </pic:pic>
              </a:graphicData>
            </a:graphic>
          </wp:inline>
        </w:drawing>
      </w:r>
      <w:r>
        <w:drawing>
          <wp:inline distT="0" distB="0" distL="114300" distR="114300">
            <wp:extent cx="5614670" cy="7889875"/>
            <wp:effectExtent l="0" t="0" r="5080" b="15875"/>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pic:cNvPicPr>
                  </pic:nvPicPr>
                  <pic:blipFill>
                    <a:blip r:embed="rId19"/>
                    <a:stretch>
                      <a:fillRect/>
                    </a:stretch>
                  </pic:blipFill>
                  <pic:spPr>
                    <a:xfrm>
                      <a:off x="0" y="0"/>
                      <a:ext cx="5614670" cy="7889875"/>
                    </a:xfrm>
                    <a:prstGeom prst="rect">
                      <a:avLst/>
                    </a:prstGeom>
                    <a:noFill/>
                    <a:ln>
                      <a:noFill/>
                    </a:ln>
                  </pic:spPr>
                </pic:pic>
              </a:graphicData>
            </a:graphic>
          </wp:inline>
        </w:drawing>
      </w:r>
      <w:r>
        <w:drawing>
          <wp:inline distT="0" distB="0" distL="114300" distR="114300">
            <wp:extent cx="5615940" cy="7978140"/>
            <wp:effectExtent l="0" t="0" r="3810" b="381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0"/>
                    <a:stretch>
                      <a:fillRect/>
                    </a:stretch>
                  </pic:blipFill>
                  <pic:spPr>
                    <a:xfrm>
                      <a:off x="0" y="0"/>
                      <a:ext cx="5615940" cy="7978140"/>
                    </a:xfrm>
                    <a:prstGeom prst="rect">
                      <a:avLst/>
                    </a:prstGeom>
                    <a:noFill/>
                    <a:ln>
                      <a:noFill/>
                    </a:ln>
                  </pic:spPr>
                </pic:pic>
              </a:graphicData>
            </a:graphic>
          </wp:inline>
        </w:drawing>
      </w:r>
      <w:r>
        <w:drawing>
          <wp:inline distT="0" distB="0" distL="114300" distR="114300">
            <wp:extent cx="5610860" cy="7886065"/>
            <wp:effectExtent l="0" t="0" r="8890" b="635"/>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21"/>
                    <a:stretch>
                      <a:fillRect/>
                    </a:stretch>
                  </pic:blipFill>
                  <pic:spPr>
                    <a:xfrm>
                      <a:off x="0" y="0"/>
                      <a:ext cx="5610860" cy="7886065"/>
                    </a:xfrm>
                    <a:prstGeom prst="rect">
                      <a:avLst/>
                    </a:prstGeom>
                    <a:noFill/>
                    <a:ln>
                      <a:noFill/>
                    </a:ln>
                  </pic:spPr>
                </pic:pic>
              </a:graphicData>
            </a:graphic>
          </wp:inline>
        </w:drawing>
      </w:r>
      <w:r>
        <w:drawing>
          <wp:inline distT="0" distB="0" distL="114300" distR="114300">
            <wp:extent cx="5810885" cy="7682865"/>
            <wp:effectExtent l="0" t="0" r="18415" b="1333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22"/>
                    <a:stretch>
                      <a:fillRect/>
                    </a:stretch>
                  </pic:blipFill>
                  <pic:spPr>
                    <a:xfrm>
                      <a:off x="0" y="0"/>
                      <a:ext cx="5810885" cy="7682865"/>
                    </a:xfrm>
                    <a:prstGeom prst="rect">
                      <a:avLst/>
                    </a:prstGeom>
                    <a:noFill/>
                    <a:ln>
                      <a:noFill/>
                    </a:ln>
                  </pic:spPr>
                </pic:pic>
              </a:graphicData>
            </a:graphic>
          </wp:inline>
        </w:drawing>
      </w:r>
      <w:r>
        <w:drawing>
          <wp:inline distT="0" distB="0" distL="114300" distR="114300">
            <wp:extent cx="5575935" cy="7418705"/>
            <wp:effectExtent l="0" t="0" r="5715" b="10795"/>
            <wp:docPr id="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1"/>
                    </pic:cNvPicPr>
                  </pic:nvPicPr>
                  <pic:blipFill>
                    <a:blip r:embed="rId23"/>
                    <a:stretch>
                      <a:fillRect/>
                    </a:stretch>
                  </pic:blipFill>
                  <pic:spPr>
                    <a:xfrm>
                      <a:off x="0" y="0"/>
                      <a:ext cx="5575935" cy="7418705"/>
                    </a:xfrm>
                    <a:prstGeom prst="rect">
                      <a:avLst/>
                    </a:prstGeom>
                    <a:noFill/>
                    <a:ln>
                      <a:noFill/>
                    </a:ln>
                  </pic:spPr>
                </pic:pic>
              </a:graphicData>
            </a:graphic>
          </wp:inline>
        </w:drawing>
      </w:r>
      <w:bookmarkStart w:id="99" w:name="_Toc31237"/>
      <w:bookmarkStart w:id="100" w:name="_Toc114240539"/>
    </w:p>
    <w:p>
      <w:pPr>
        <w:pStyle w:val="7"/>
      </w:pPr>
      <w:r>
        <w:drawing>
          <wp:inline distT="0" distB="0" distL="114300" distR="114300">
            <wp:extent cx="5661660" cy="7055485"/>
            <wp:effectExtent l="0" t="0" r="15240" b="12065"/>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24"/>
                    <a:stretch>
                      <a:fillRect/>
                    </a:stretch>
                  </pic:blipFill>
                  <pic:spPr>
                    <a:xfrm>
                      <a:off x="0" y="0"/>
                      <a:ext cx="5661660" cy="7055485"/>
                    </a:xfrm>
                    <a:prstGeom prst="rect">
                      <a:avLst/>
                    </a:prstGeom>
                    <a:noFill/>
                    <a:ln>
                      <a:noFill/>
                    </a:ln>
                  </pic:spPr>
                </pic:pic>
              </a:graphicData>
            </a:graphic>
          </wp:inline>
        </w:drawing>
      </w:r>
    </w:p>
    <w:p>
      <w:pPr>
        <w:pStyle w:val="4"/>
      </w:pPr>
    </w:p>
    <w:p>
      <w:pPr>
        <w:pStyle w:val="4"/>
        <w:ind w:left="0" w:leftChars="0" w:firstLine="0" w:firstLineChars="0"/>
        <w:rPr>
          <w:rFonts w:hint="eastAsia"/>
        </w:rPr>
      </w:pPr>
    </w:p>
    <w:p>
      <w:pPr>
        <w:pStyle w:val="4"/>
        <w:ind w:left="0" w:leftChars="0" w:firstLine="0" w:firstLineChars="0"/>
        <w:rPr>
          <w:rFonts w:hint="eastAsia"/>
        </w:rPr>
      </w:pPr>
    </w:p>
    <w:p>
      <w:pPr>
        <w:topLinePunct/>
        <w:spacing w:line="800" w:lineRule="exact"/>
        <w:jc w:val="center"/>
        <w:outlineLvl w:val="0"/>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第五部分 附表</w:t>
      </w:r>
      <w:bookmarkEnd w:id="99"/>
      <w:bookmarkEnd w:id="100"/>
      <w:bookmarkStart w:id="101" w:name="_Toc81996738"/>
      <w:bookmarkStart w:id="102" w:name="_Toc15396619"/>
      <w:bookmarkStart w:id="103" w:name="_Toc81996992"/>
    </w:p>
    <w:p>
      <w:pPr>
        <w:topLinePunct/>
        <w:spacing w:line="600" w:lineRule="exact"/>
        <w:rPr>
          <w:rFonts w:hint="eastAsia" w:ascii="仿宋_GB2312" w:eastAsia="仿宋_GB2312"/>
          <w:sz w:val="30"/>
          <w:szCs w:val="30"/>
        </w:rPr>
      </w:pPr>
    </w:p>
    <w:bookmarkEnd w:id="101"/>
    <w:bookmarkEnd w:id="102"/>
    <w:bookmarkEnd w:id="103"/>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一、收入支出决算总表</w:t>
      </w:r>
    </w:p>
    <w:p>
      <w:pPr>
        <w:topLinePunct/>
        <w:spacing w:line="566" w:lineRule="exact"/>
        <w:ind w:firstLine="640" w:firstLineChars="200"/>
        <w:outlineLvl w:val="1"/>
        <w:rPr>
          <w:rFonts w:hint="eastAsia" w:ascii="仿宋_GB2312" w:eastAsia="仿宋_GB2312"/>
          <w:sz w:val="32"/>
          <w:szCs w:val="32"/>
        </w:rPr>
      </w:pPr>
      <w:bookmarkStart w:id="104" w:name="_Toc15396620"/>
      <w:r>
        <w:rPr>
          <w:rFonts w:hint="eastAsia" w:ascii="仿宋_GB2312" w:eastAsia="仿宋_GB2312"/>
          <w:sz w:val="32"/>
          <w:szCs w:val="32"/>
        </w:rPr>
        <w:t>二、收入决算表</w:t>
      </w:r>
      <w:bookmarkEnd w:id="104"/>
    </w:p>
    <w:p>
      <w:pPr>
        <w:topLinePunct/>
        <w:spacing w:line="566" w:lineRule="exact"/>
        <w:ind w:firstLine="640" w:firstLineChars="200"/>
        <w:outlineLvl w:val="1"/>
        <w:rPr>
          <w:rFonts w:hint="eastAsia" w:ascii="仿宋_GB2312" w:eastAsia="仿宋_GB2312"/>
          <w:sz w:val="32"/>
          <w:szCs w:val="32"/>
        </w:rPr>
      </w:pPr>
      <w:bookmarkStart w:id="105" w:name="_Toc15396621"/>
      <w:r>
        <w:rPr>
          <w:rFonts w:hint="eastAsia" w:ascii="仿宋_GB2312" w:eastAsia="仿宋_GB2312"/>
          <w:sz w:val="32"/>
          <w:szCs w:val="32"/>
        </w:rPr>
        <w:t>三、支出决算表</w:t>
      </w:r>
      <w:bookmarkEnd w:id="105"/>
    </w:p>
    <w:p>
      <w:pPr>
        <w:topLinePunct/>
        <w:spacing w:line="566" w:lineRule="exact"/>
        <w:ind w:firstLine="640" w:firstLineChars="200"/>
        <w:outlineLvl w:val="1"/>
        <w:rPr>
          <w:rFonts w:hint="eastAsia" w:ascii="仿宋_GB2312" w:eastAsia="仿宋_GB2312"/>
          <w:sz w:val="32"/>
          <w:szCs w:val="32"/>
        </w:rPr>
      </w:pPr>
      <w:bookmarkStart w:id="106" w:name="_Toc15396622"/>
      <w:r>
        <w:rPr>
          <w:rFonts w:hint="eastAsia" w:ascii="仿宋_GB2312" w:eastAsia="仿宋_GB2312"/>
          <w:sz w:val="32"/>
          <w:szCs w:val="32"/>
        </w:rPr>
        <w:t>四、财政拨款收入支出决算总表</w:t>
      </w:r>
      <w:bookmarkEnd w:id="106"/>
    </w:p>
    <w:p>
      <w:pPr>
        <w:topLinePunct/>
        <w:spacing w:line="566" w:lineRule="exact"/>
        <w:ind w:firstLine="640" w:firstLineChars="200"/>
        <w:outlineLvl w:val="1"/>
        <w:rPr>
          <w:rFonts w:hint="eastAsia" w:ascii="仿宋_GB2312" w:eastAsia="仿宋_GB2312"/>
          <w:sz w:val="32"/>
          <w:szCs w:val="32"/>
        </w:rPr>
      </w:pPr>
      <w:bookmarkStart w:id="107" w:name="_Toc15396623"/>
      <w:r>
        <w:rPr>
          <w:rFonts w:hint="eastAsia" w:ascii="仿宋_GB2312" w:eastAsia="仿宋_GB2312"/>
          <w:sz w:val="32"/>
          <w:szCs w:val="32"/>
        </w:rPr>
        <w:t>五、财政拨款支出决算明细表</w:t>
      </w:r>
      <w:bookmarkEnd w:id="107"/>
      <w:bookmarkStart w:id="108" w:name="_Toc15396624"/>
    </w:p>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六、一般公共预算财政拨款支出决算表</w:t>
      </w:r>
      <w:bookmarkEnd w:id="108"/>
    </w:p>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七、一般公共预算财政拨款支出决算明细表</w:t>
      </w:r>
    </w:p>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八、一般公共预算财政拨款基本支出决算表</w:t>
      </w:r>
    </w:p>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九、一般公共预算财政拨款项目支出决算表</w:t>
      </w:r>
    </w:p>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十、政府性基金预算财政拨款收入支出决算表</w:t>
      </w:r>
    </w:p>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十一、国有资本经营预算</w:t>
      </w:r>
      <w:r>
        <w:rPr>
          <w:rFonts w:hint="eastAsia" w:ascii="仿宋_GB2312" w:eastAsia="仿宋_GB2312"/>
          <w:sz w:val="32"/>
          <w:szCs w:val="32"/>
          <w:lang w:eastAsia="zh-CN"/>
        </w:rPr>
        <w:t>财政拨款收入</w:t>
      </w:r>
      <w:r>
        <w:rPr>
          <w:rFonts w:hint="eastAsia" w:ascii="仿宋_GB2312" w:eastAsia="仿宋_GB2312"/>
          <w:sz w:val="32"/>
          <w:szCs w:val="32"/>
        </w:rPr>
        <w:t>支出决算表</w:t>
      </w:r>
    </w:p>
    <w:p>
      <w:pPr>
        <w:topLinePunct/>
        <w:spacing w:line="566"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十二、</w:t>
      </w:r>
      <w:r>
        <w:rPr>
          <w:rFonts w:hint="eastAsia" w:ascii="仿宋_GB2312" w:eastAsia="仿宋_GB2312"/>
          <w:sz w:val="32"/>
          <w:szCs w:val="32"/>
          <w:lang w:eastAsia="zh-CN"/>
        </w:rPr>
        <w:t>国有资本经营预算财政拨款支出决算表</w:t>
      </w:r>
    </w:p>
    <w:p>
      <w:pPr>
        <w:topLinePunct/>
        <w:spacing w:line="566" w:lineRule="exact"/>
        <w:ind w:firstLine="640" w:firstLineChars="200"/>
        <w:outlineLvl w:val="1"/>
        <w:rPr>
          <w:rFonts w:hint="eastAsia" w:ascii="仿宋_GB2312" w:eastAsia="仿宋_GB2312"/>
          <w:sz w:val="32"/>
          <w:szCs w:val="32"/>
          <w:lang w:eastAsia="zh-CN"/>
        </w:rPr>
      </w:pPr>
      <w:r>
        <w:rPr>
          <w:rFonts w:hint="eastAsia" w:ascii="仿宋_GB2312" w:eastAsia="仿宋_GB2312"/>
          <w:sz w:val="32"/>
          <w:szCs w:val="32"/>
        </w:rPr>
        <w:t>十三、</w:t>
      </w:r>
      <w:r>
        <w:rPr>
          <w:rFonts w:hint="eastAsia" w:ascii="仿宋_GB2312" w:eastAsia="仿宋_GB2312"/>
          <w:sz w:val="32"/>
          <w:szCs w:val="32"/>
          <w:lang w:eastAsia="zh-CN"/>
        </w:rPr>
        <w:t>财政拨款“三公”经费支出决算表</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
    <w:sectPr>
      <w:footerReference r:id="rId3" w:type="default"/>
      <w:pgSz w:w="11906" w:h="16838"/>
      <w:pgMar w:top="2098" w:right="1474" w:bottom="1984" w:left="1587" w:header="851" w:footer="992" w:gutter="0"/>
      <w:pgNumType w:fmt="decimal"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80899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0899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5pt;height:144pt;width:63.7pt;mso-position-horizontal:outside;mso-position-horizontal-relative:margin;z-index:251659264;mso-width-relative:page;mso-height-relative:page;" filled="f" stroked="f" coordsize="21600,21600" o:gfxdata="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hxVWNcAAAAIAQAADwAAAAAAAAABACAAAAAiAAAAZHJz&#10;L2Rvd25yZXYueG1sUEsBAhQAFAAAAAgAh07iQNe8wP4+AgAAcgQAAA4AAAAAAAAAAQAgAAAAJgEA&#10;AGRycy9lMm9Eb2MueG1sUEsFBgAAAAAGAAYAWQEAAN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15373"/>
    <w:multiLevelType w:val="singleLevel"/>
    <w:tmpl w:val="BE715373"/>
    <w:lvl w:ilvl="0" w:tentative="0">
      <w:start w:val="1"/>
      <w:numFmt w:val="chineseCounting"/>
      <w:suff w:val="nothing"/>
      <w:lvlText w:val="%1、"/>
      <w:lvlJc w:val="left"/>
      <w:rPr>
        <w:rFonts w:hint="eastAsia" w:ascii="黑体" w:hAnsi="黑体" w:eastAsia="黑体" w:cs="黑体"/>
      </w:rPr>
    </w:lvl>
  </w:abstractNum>
  <w:abstractNum w:abstractNumId="1">
    <w:nsid w:val="C0847947"/>
    <w:multiLevelType w:val="singleLevel"/>
    <w:tmpl w:val="C0847947"/>
    <w:lvl w:ilvl="0" w:tentative="0">
      <w:start w:val="2"/>
      <w:numFmt w:val="chineseCounting"/>
      <w:suff w:val="nothing"/>
      <w:lvlText w:val="%1、"/>
      <w:lvlJc w:val="left"/>
      <w:pPr>
        <w:ind w:left="600" w:firstLine="0"/>
      </w:pPr>
      <w:rPr>
        <w:rFonts w:hint="eastAsia"/>
      </w:rPr>
    </w:lvl>
  </w:abstractNum>
  <w:abstractNum w:abstractNumId="2">
    <w:nsid w:val="3690BFE0"/>
    <w:multiLevelType w:val="singleLevel"/>
    <w:tmpl w:val="3690BFE0"/>
    <w:lvl w:ilvl="0" w:tentative="0">
      <w:start w:val="2"/>
      <w:numFmt w:val="chineseCounting"/>
      <w:suff w:val="nothing"/>
      <w:lvlText w:val="（%1）"/>
      <w:lvlJc w:val="left"/>
      <w:pPr>
        <w:ind w:left="480" w:firstLine="0"/>
      </w:pPr>
      <w:rPr>
        <w:rFonts w:hint="eastAsia"/>
      </w:rPr>
    </w:lvl>
  </w:abstractNum>
  <w:abstractNum w:abstractNumId="3">
    <w:nsid w:val="44136728"/>
    <w:multiLevelType w:val="singleLevel"/>
    <w:tmpl w:val="44136728"/>
    <w:lvl w:ilvl="0" w:tentative="0">
      <w:start w:val="5"/>
      <w:numFmt w:val="chineseCounting"/>
      <w:suff w:val="nothing"/>
      <w:lvlText w:val="%1、"/>
      <w:lvlJc w:val="left"/>
      <w:rPr>
        <w:rFonts w:hint="eastAsia"/>
      </w:rPr>
    </w:lvl>
  </w:abstractNum>
  <w:abstractNum w:abstractNumId="4">
    <w:nsid w:val="7E3CC0D5"/>
    <w:multiLevelType w:val="singleLevel"/>
    <w:tmpl w:val="7E3CC0D5"/>
    <w:lvl w:ilvl="0" w:tentative="0">
      <w:start w:val="5"/>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D785A"/>
    <w:rsid w:val="00FF5BAF"/>
    <w:rsid w:val="01BB6C7B"/>
    <w:rsid w:val="027D7B8D"/>
    <w:rsid w:val="02C1484A"/>
    <w:rsid w:val="03530C10"/>
    <w:rsid w:val="03804BD4"/>
    <w:rsid w:val="049D66D9"/>
    <w:rsid w:val="04BC1CB1"/>
    <w:rsid w:val="04D0000D"/>
    <w:rsid w:val="0723294F"/>
    <w:rsid w:val="0804204E"/>
    <w:rsid w:val="086623AD"/>
    <w:rsid w:val="095967F2"/>
    <w:rsid w:val="0A8E0D99"/>
    <w:rsid w:val="0B814C0E"/>
    <w:rsid w:val="0B8E30B6"/>
    <w:rsid w:val="0BAB3345"/>
    <w:rsid w:val="0C156FAC"/>
    <w:rsid w:val="0C517E0D"/>
    <w:rsid w:val="0DF76034"/>
    <w:rsid w:val="0E6D2605"/>
    <w:rsid w:val="0F491993"/>
    <w:rsid w:val="0F687BE9"/>
    <w:rsid w:val="0F73668A"/>
    <w:rsid w:val="1168273F"/>
    <w:rsid w:val="13334379"/>
    <w:rsid w:val="144E1CF0"/>
    <w:rsid w:val="14623BD5"/>
    <w:rsid w:val="148513F9"/>
    <w:rsid w:val="14DA5660"/>
    <w:rsid w:val="14E15CC7"/>
    <w:rsid w:val="1556379E"/>
    <w:rsid w:val="168315FD"/>
    <w:rsid w:val="17846838"/>
    <w:rsid w:val="185838DC"/>
    <w:rsid w:val="19213C36"/>
    <w:rsid w:val="195B655F"/>
    <w:rsid w:val="198B7C9A"/>
    <w:rsid w:val="19946A8F"/>
    <w:rsid w:val="1A17184D"/>
    <w:rsid w:val="1AF66EC1"/>
    <w:rsid w:val="1CAC7401"/>
    <w:rsid w:val="1D1541E8"/>
    <w:rsid w:val="1DA32141"/>
    <w:rsid w:val="1E475349"/>
    <w:rsid w:val="1E7F08F6"/>
    <w:rsid w:val="20C94B5C"/>
    <w:rsid w:val="21BD702C"/>
    <w:rsid w:val="224E5A32"/>
    <w:rsid w:val="231D7F42"/>
    <w:rsid w:val="23BC5B04"/>
    <w:rsid w:val="23D47615"/>
    <w:rsid w:val="24AF3FBC"/>
    <w:rsid w:val="254661ED"/>
    <w:rsid w:val="25A66F6B"/>
    <w:rsid w:val="26D45B05"/>
    <w:rsid w:val="26E9121C"/>
    <w:rsid w:val="27767062"/>
    <w:rsid w:val="285945E0"/>
    <w:rsid w:val="2866304D"/>
    <w:rsid w:val="28911519"/>
    <w:rsid w:val="28D46D55"/>
    <w:rsid w:val="293245C4"/>
    <w:rsid w:val="2AD85BEA"/>
    <w:rsid w:val="2AF54496"/>
    <w:rsid w:val="2B0921E4"/>
    <w:rsid w:val="2BE5153E"/>
    <w:rsid w:val="2D8D4309"/>
    <w:rsid w:val="2E1D7738"/>
    <w:rsid w:val="2F2D2821"/>
    <w:rsid w:val="2FD71221"/>
    <w:rsid w:val="2FEF4B4B"/>
    <w:rsid w:val="30227B7D"/>
    <w:rsid w:val="308D7FA7"/>
    <w:rsid w:val="30A132F3"/>
    <w:rsid w:val="30A67FC3"/>
    <w:rsid w:val="30B66812"/>
    <w:rsid w:val="31B41FB4"/>
    <w:rsid w:val="329B2DF9"/>
    <w:rsid w:val="33997EDA"/>
    <w:rsid w:val="341B5F9C"/>
    <w:rsid w:val="35B53AFB"/>
    <w:rsid w:val="35F1692F"/>
    <w:rsid w:val="378435EC"/>
    <w:rsid w:val="37846DE3"/>
    <w:rsid w:val="37C55F72"/>
    <w:rsid w:val="38030E95"/>
    <w:rsid w:val="384C2565"/>
    <w:rsid w:val="39B931D6"/>
    <w:rsid w:val="3AD01392"/>
    <w:rsid w:val="3C223410"/>
    <w:rsid w:val="3C425765"/>
    <w:rsid w:val="3C527C38"/>
    <w:rsid w:val="3C786CB6"/>
    <w:rsid w:val="3D1D2C8E"/>
    <w:rsid w:val="3D853597"/>
    <w:rsid w:val="3D9F2CC7"/>
    <w:rsid w:val="3E2567D8"/>
    <w:rsid w:val="3EDD0230"/>
    <w:rsid w:val="40516E58"/>
    <w:rsid w:val="40902CFD"/>
    <w:rsid w:val="41002C61"/>
    <w:rsid w:val="419E72F2"/>
    <w:rsid w:val="428E11E8"/>
    <w:rsid w:val="42AF5E92"/>
    <w:rsid w:val="42DA3951"/>
    <w:rsid w:val="43806841"/>
    <w:rsid w:val="444D0EFE"/>
    <w:rsid w:val="448E35BD"/>
    <w:rsid w:val="449369C9"/>
    <w:rsid w:val="48296453"/>
    <w:rsid w:val="48FD488C"/>
    <w:rsid w:val="49495961"/>
    <w:rsid w:val="496B3936"/>
    <w:rsid w:val="49F020A8"/>
    <w:rsid w:val="4A711D34"/>
    <w:rsid w:val="4AFC4DFB"/>
    <w:rsid w:val="4DD728BD"/>
    <w:rsid w:val="4DEA197F"/>
    <w:rsid w:val="4E59291D"/>
    <w:rsid w:val="4E9A5411"/>
    <w:rsid w:val="4EF17595"/>
    <w:rsid w:val="4EF479BC"/>
    <w:rsid w:val="4FB522C8"/>
    <w:rsid w:val="502B5C41"/>
    <w:rsid w:val="51577982"/>
    <w:rsid w:val="51863DE7"/>
    <w:rsid w:val="521A3168"/>
    <w:rsid w:val="53183616"/>
    <w:rsid w:val="54036C8B"/>
    <w:rsid w:val="54736673"/>
    <w:rsid w:val="54BD2AF4"/>
    <w:rsid w:val="566B3E03"/>
    <w:rsid w:val="56727077"/>
    <w:rsid w:val="57522985"/>
    <w:rsid w:val="581A50F6"/>
    <w:rsid w:val="5845175B"/>
    <w:rsid w:val="5BCF4CBB"/>
    <w:rsid w:val="5BD626FE"/>
    <w:rsid w:val="5C8C38F3"/>
    <w:rsid w:val="5D593978"/>
    <w:rsid w:val="5DA93295"/>
    <w:rsid w:val="5E9A468C"/>
    <w:rsid w:val="5E9E5595"/>
    <w:rsid w:val="5F012DC6"/>
    <w:rsid w:val="5F8B09AC"/>
    <w:rsid w:val="6068691A"/>
    <w:rsid w:val="60933EFC"/>
    <w:rsid w:val="60A10FBD"/>
    <w:rsid w:val="60B700C5"/>
    <w:rsid w:val="60B916A0"/>
    <w:rsid w:val="61654CD7"/>
    <w:rsid w:val="623001C4"/>
    <w:rsid w:val="625D5791"/>
    <w:rsid w:val="63C32986"/>
    <w:rsid w:val="63E03ED0"/>
    <w:rsid w:val="63E25C9A"/>
    <w:rsid w:val="6430231E"/>
    <w:rsid w:val="64584564"/>
    <w:rsid w:val="650B343F"/>
    <w:rsid w:val="65184D88"/>
    <w:rsid w:val="656A74E8"/>
    <w:rsid w:val="6632447C"/>
    <w:rsid w:val="66B079E1"/>
    <w:rsid w:val="66E12C4B"/>
    <w:rsid w:val="677054DC"/>
    <w:rsid w:val="6AEE64CA"/>
    <w:rsid w:val="6B0F7D9D"/>
    <w:rsid w:val="6BB532F1"/>
    <w:rsid w:val="6C63323E"/>
    <w:rsid w:val="6D216A7B"/>
    <w:rsid w:val="6D5B4EEA"/>
    <w:rsid w:val="6DB60C1F"/>
    <w:rsid w:val="6E5C0D99"/>
    <w:rsid w:val="6EAA5F2A"/>
    <w:rsid w:val="6F2C2638"/>
    <w:rsid w:val="6F5544AD"/>
    <w:rsid w:val="6FF50A77"/>
    <w:rsid w:val="6FFD0A5A"/>
    <w:rsid w:val="701A1E95"/>
    <w:rsid w:val="702231D8"/>
    <w:rsid w:val="713746B9"/>
    <w:rsid w:val="72D42E76"/>
    <w:rsid w:val="733D453D"/>
    <w:rsid w:val="74A664B9"/>
    <w:rsid w:val="74B447F6"/>
    <w:rsid w:val="76DB3B92"/>
    <w:rsid w:val="77B75433"/>
    <w:rsid w:val="78867371"/>
    <w:rsid w:val="78C023C0"/>
    <w:rsid w:val="7C1C4E39"/>
    <w:rsid w:val="7C830C08"/>
    <w:rsid w:val="7CA05A14"/>
    <w:rsid w:val="7CA13AEF"/>
    <w:rsid w:val="7D992982"/>
    <w:rsid w:val="7E1508A9"/>
    <w:rsid w:val="7EC8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unhideWhenUsed/>
    <w:qFormat/>
    <w:uiPriority w:val="99"/>
    <w:pPr>
      <w:ind w:firstLine="420" w:firstLineChars="200"/>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footnote text"/>
    <w:basedOn w:val="1"/>
    <w:next w:val="4"/>
    <w:semiHidden/>
    <w:qFormat/>
    <w:uiPriority w:val="0"/>
    <w:pPr>
      <w:snapToGrid w:val="0"/>
      <w:jc w:val="left"/>
    </w:pPr>
    <w:rPr>
      <w:sz w:val="18"/>
      <w:szCs w:val="18"/>
    </w:rPr>
  </w:style>
  <w:style w:type="paragraph" w:customStyle="1" w:styleId="10">
    <w:name w:val="WPSOffice手动目录 1"/>
    <w:qFormat/>
    <w:uiPriority w:val="0"/>
    <w:pPr>
      <w:ind w:leftChars="0"/>
    </w:pPr>
    <w:rPr>
      <w:rFonts w:ascii="Calibri" w:hAnsi="Calibri" w:eastAsia="宋体" w:cs="Times New Roman"/>
      <w:sz w:val="20"/>
      <w:szCs w:val="20"/>
    </w:rPr>
  </w:style>
  <w:style w:type="paragraph" w:customStyle="1" w:styleId="11">
    <w:name w:val="WPSOffice手动目录 2"/>
    <w:qFormat/>
    <w:uiPriority w:val="0"/>
    <w:pPr>
      <w:ind w:leftChars="200"/>
    </w:pPr>
    <w:rPr>
      <w:rFonts w:ascii="Calibri" w:hAnsi="Calibri" w:eastAsia="宋体" w:cs="Times New Roman"/>
      <w:sz w:val="20"/>
      <w:szCs w:val="20"/>
    </w:rPr>
  </w:style>
  <w:style w:type="paragraph" w:customStyle="1" w:styleId="12">
    <w:name w:val="WPSOffice手动目录 3"/>
    <w:qFormat/>
    <w:uiPriority w:val="0"/>
    <w:pPr>
      <w:ind w:leftChars="400"/>
    </w:pPr>
    <w:rPr>
      <w:rFonts w:ascii="Calibri" w:hAnsi="Calibri" w:eastAsia="宋体" w:cs="Times New Roman"/>
      <w:sz w:val="20"/>
      <w:szCs w:val="20"/>
    </w:rPr>
  </w:style>
  <w:style w:type="paragraph" w:styleId="13">
    <w:name w:val="List Paragraph"/>
    <w:basedOn w:val="1"/>
    <w:qFormat/>
    <w:uiPriority w:val="34"/>
    <w:pPr>
      <w:ind w:firstLine="420" w:firstLineChars="200"/>
    </w:pPr>
  </w:style>
  <w:style w:type="paragraph" w:customStyle="1" w:styleId="1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4037;&#20316;\&#36130;&#21153;&#26085;&#24120;\2024\&#39044;&#20915;&#31639;&#20844;&#24320;\&#20915;&#31639;\223&#2418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037;&#20316;\&#36130;&#21153;&#26085;&#24120;\2021\2021.8.13&#20915;&#31639;&#20844;&#24320;\20210907&#22235;&#24029;&#30465;&#23398;&#29983;&#36164;&#21161;&#31649;&#29702;&#20013;&#24515;&#20915;&#31639;&#20844;&#24320;&#65288;&#22270;&#34920;&#21407;&#22987;&#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36130;&#21153;&#26085;&#24120;\2021\2021.8.13&#20915;&#31639;&#20844;&#24320;\20210907&#22235;&#24029;&#30465;&#23398;&#29983;&#36164;&#21161;&#31649;&#29702;&#20013;&#24515;&#20915;&#31639;&#20844;&#24320;&#65288;&#22270;&#34920;&#21407;&#22987;&#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037;&#20316;\&#36130;&#21153;&#26085;&#24120;\2022\&#20915;&#31639;&#20844;&#24320;\2021&#24180;&#22235;&#24029;&#30465;&#23398;&#29983;&#36164;&#21161;&#31649;&#29702;&#20013;&#24515;&#20915;&#31639;&#20844;&#24320;&#65288;&#22270;&#34920;&#21407;&#22987;&#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4037;&#20316;\&#36130;&#21153;&#26085;&#24120;\2022\&#20915;&#31639;&#20844;&#24320;\2021&#24180;&#22235;&#24029;&#30465;&#23398;&#29983;&#36164;&#21161;&#31649;&#29702;&#20013;&#24515;&#20915;&#31639;&#20844;&#24320;&#65288;&#22270;&#34920;&#21407;&#22987;&#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4037;&#20316;\&#36130;&#21153;&#26085;&#24120;\2022\&#20915;&#31639;&#20844;&#24320;\2021&#24180;&#22235;&#24029;&#30465;&#23398;&#29983;&#36164;&#21161;&#31649;&#29702;&#20013;&#24515;&#20915;&#31639;&#20844;&#24320;&#65288;&#22270;&#34920;&#21407;&#22987;&#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6180\Documents\WeChat%20Files\wxid_p40vpp1m0fkd21\FileStorage\File\2023-08\&#38468;&#20214;2&#20449;&#24687;&#31995;&#32479;&#24773;&#20917;&#35843;&#26597;&#34920;(1).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rgbClr val="F2F2F2">
                    <a:lumMod val="95000"/>
                  </a:srgbClr>
                </a:solidFill>
                <a:effectLst>
                  <a:outerShdw blurRad="50800" dist="38100" dir="5400000" algn="t" rotWithShape="0">
                    <a:prstClr val="black">
                      <a:alpha val="40000"/>
                    </a:prstClr>
                  </a:outerShdw>
                </a:effectLst>
                <a:latin typeface="+mn-lt"/>
                <a:ea typeface="+mn-ea"/>
                <a:cs typeface="+mn-cs"/>
              </a:defRPr>
            </a:pPr>
            <a:r>
              <a:t>收、支总计</a:t>
            </a:r>
          </a:p>
        </c:rich>
      </c:tx>
      <c:layout>
        <c:manualLayout>
          <c:xMode val="edge"/>
          <c:yMode val="edge"/>
          <c:x val="0.395"/>
          <c:y val="0.0208333333333333"/>
        </c:manualLayout>
      </c:layout>
      <c:overlay val="0"/>
      <c:spPr>
        <a:noFill/>
        <a:ln>
          <a:noFill/>
        </a:ln>
        <a:effectLst/>
      </c:spPr>
    </c:title>
    <c:autoTitleDeleted val="0"/>
    <c:plotArea>
      <c:layout>
        <c:manualLayout>
          <c:layoutTarget val="inner"/>
          <c:xMode val="edge"/>
          <c:yMode val="edge"/>
          <c:x val="0.139111111111111"/>
          <c:y val="0.192592592592593"/>
          <c:w val="0.856722222222222"/>
          <c:h val="0.711666666666667"/>
        </c:manualLayout>
      </c:layout>
      <c:barChart>
        <c:barDir val="col"/>
        <c:grouping val="clustered"/>
        <c:varyColors val="0"/>
        <c:ser>
          <c:idx val="0"/>
          <c:order val="0"/>
          <c:tx>
            <c:strRef>
              <c:f>[223年决算公开图表.xlsx]Sheet1!$A$3</c:f>
              <c:strCache>
                <c:ptCount val="1"/>
                <c:pt idx="0">
                  <c:v>收、支总计</c:v>
                </c:pt>
              </c:strCache>
            </c:strRef>
          </c:tx>
          <c:spPr>
            <a:gradFill rotWithShape="1">
              <a:gsLst>
                <a:gs pos="0">
                  <a:srgbClr val="3372AB">
                    <a:shade val="51000"/>
                    <a:satMod val="130000"/>
                  </a:srgbClr>
                </a:gs>
                <a:gs pos="80000">
                  <a:srgbClr val="4697E0">
                    <a:shade val="93000"/>
                    <a:satMod val="130000"/>
                  </a:srgbClr>
                </a:gs>
                <a:gs pos="100000">
                  <a:srgbClr val="4498E4">
                    <a:shade val="94000"/>
                    <a:satMod val="135000"/>
                  </a:srgb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D9D9D9">
                        <a:lumMod val="8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F2F2F2">
                          <a:lumMod val="95000"/>
                          <a:alpha val="54000"/>
                        </a:srgbClr>
                      </a:solidFill>
                    </a:ln>
                    <a:effectLst/>
                  </c:spPr>
                </c15:leaderLines>
              </c:ext>
            </c:extLst>
          </c:dLbls>
          <c:trendline>
            <c:spPr>
              <a:ln w="19050" cap="rnd">
                <a:solidFill>
                  <a:srgbClr val="5B9BD5"/>
                </a:solidFill>
              </a:ln>
              <a:effectLst/>
            </c:spPr>
            <c:trendlineType val="linear"/>
            <c:dispRSqr val="0"/>
            <c:dispEq val="0"/>
          </c:trendline>
          <c:cat>
            <c:numRef>
              <c:f>[223年决算公开图表.xlsx]Sheet1!$B$2:$C$2</c:f>
              <c:numCache>
                <c:formatCode>General</c:formatCode>
                <c:ptCount val="2"/>
                <c:pt idx="0">
                  <c:v>2022</c:v>
                </c:pt>
                <c:pt idx="1">
                  <c:v>2023</c:v>
                </c:pt>
              </c:numCache>
            </c:numRef>
          </c:cat>
          <c:val>
            <c:numRef>
              <c:f>[223年决算公开图表.xlsx]Sheet1!$B$3:$C$3</c:f>
              <c:numCache>
                <c:formatCode>General</c:formatCode>
                <c:ptCount val="2"/>
                <c:pt idx="0">
                  <c:v>259760.39</c:v>
                </c:pt>
                <c:pt idx="1">
                  <c:v>295511.72</c:v>
                </c:pt>
              </c:numCache>
            </c:numRef>
          </c:val>
        </c:ser>
        <c:dLbls>
          <c:showLegendKey val="0"/>
          <c:showVal val="1"/>
          <c:showCatName val="0"/>
          <c:showSerName val="0"/>
          <c:showPercent val="0"/>
          <c:showBubbleSize val="0"/>
        </c:dLbls>
        <c:gapWidth val="100"/>
        <c:overlap val="-24"/>
        <c:axId val="52077471"/>
        <c:axId val="779291363"/>
      </c:barChart>
      <c:catAx>
        <c:axId val="52077471"/>
        <c:scaling>
          <c:orientation val="minMax"/>
        </c:scaling>
        <c:delete val="0"/>
        <c:axPos val="b"/>
        <c:majorTickMark val="none"/>
        <c:minorTickMark val="none"/>
        <c:tickLblPos val="nextTo"/>
        <c:spPr>
          <a:noFill/>
          <a:ln w="12700" cap="flat" cmpd="sng" algn="ctr">
            <a:solidFill>
              <a:srgbClr val="F2F2F2">
                <a:lumMod val="95000"/>
                <a:alpha val="54000"/>
              </a:srgbClr>
            </a:solidFill>
            <a:round/>
          </a:ln>
          <a:effectLst/>
        </c:spPr>
        <c:txPr>
          <a:bodyPr rot="-60000000" spcFirstLastPara="0" vertOverflow="ellipsis" vert="horz" wrap="square" anchor="ctr" anchorCtr="1"/>
          <a:lstStyle/>
          <a:p>
            <a:pPr>
              <a:defRPr lang="zh-CN" sz="900" b="0" i="0" u="none" strike="noStrike" kern="1200" baseline="0">
                <a:solidFill>
                  <a:srgbClr val="D9D9D9">
                    <a:lumMod val="85000"/>
                  </a:srgbClr>
                </a:solidFill>
                <a:latin typeface="+mn-lt"/>
                <a:ea typeface="+mn-ea"/>
                <a:cs typeface="+mn-cs"/>
              </a:defRPr>
            </a:pPr>
          </a:p>
        </c:txPr>
        <c:crossAx val="779291363"/>
        <c:crosses val="autoZero"/>
        <c:auto val="1"/>
        <c:lblAlgn val="ctr"/>
        <c:lblOffset val="100"/>
        <c:noMultiLvlLbl val="0"/>
      </c:catAx>
      <c:valAx>
        <c:axId val="779291363"/>
        <c:scaling>
          <c:orientation val="minMax"/>
        </c:scaling>
        <c:delete val="0"/>
        <c:axPos val="l"/>
        <c:majorGridlines>
          <c:spPr>
            <a:ln w="9525" cap="flat" cmpd="sng" algn="ctr">
              <a:solidFill>
                <a:srgbClr val="F2F2F2">
                  <a:lumMod val="95000"/>
                  <a:alpha val="10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D9D9D9">
                    <a:lumMod val="85000"/>
                  </a:srgbClr>
                </a:solidFill>
                <a:latin typeface="+mn-lt"/>
                <a:ea typeface="+mn-ea"/>
                <a:cs typeface="+mn-cs"/>
              </a:defRPr>
            </a:pPr>
          </a:p>
        </c:txPr>
        <c:crossAx val="52077471"/>
        <c:crosses val="autoZero"/>
        <c:crossBetween val="between"/>
      </c:valAx>
      <c:spPr>
        <a:noFill/>
        <a:ln>
          <a:noFill/>
        </a:ln>
        <a:effectLst/>
      </c:spPr>
    </c:plotArea>
    <c:plotVisOnly val="1"/>
    <c:dispBlanksAs val="gap"/>
    <c:showDLblsOverMax val="0"/>
  </c:chart>
  <c:spPr>
    <a:gradFill flip="none" rotWithShape="1">
      <a:gsLst>
        <a:gs pos="0">
          <a:srgbClr val="595959">
            <a:lumMod val="65000"/>
            <a:lumOff val="35000"/>
          </a:srgbClr>
        </a:gs>
        <a:gs pos="100000">
          <a:srgbClr val="262626">
            <a:lumMod val="85000"/>
            <a:lumOff val="15000"/>
          </a:srgbClr>
        </a:gs>
      </a:gsLst>
      <a:path path="circle">
        <a:fillToRect l="50000" t="50000" r="50000" b="50000"/>
      </a:path>
    </a:gradFill>
    <a:ln>
      <a:noFill/>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000000"/>
                </a:solidFill>
                <a:latin typeface="+mn-lt"/>
                <a:ea typeface="+mn-ea"/>
                <a:cs typeface="+mn-cs"/>
              </a:defRPr>
            </a:pPr>
            <a:r>
              <a:rPr lang="en-US" altLang="zh-CN">
                <a:solidFill>
                  <a:srgbClr val="000000"/>
                </a:solidFill>
                <a:latin typeface="+mn-lt"/>
                <a:ea typeface="+mn-ea"/>
                <a:cs typeface="+mn-cs"/>
              </a:rPr>
              <a:t>2023</a:t>
            </a:r>
            <a:r>
              <a:rPr>
                <a:solidFill>
                  <a:srgbClr val="000000"/>
                </a:solidFill>
                <a:latin typeface="+mn-lt"/>
                <a:ea typeface="+mn-ea"/>
                <a:cs typeface="+mn-cs"/>
              </a:rPr>
              <a:t>年</a:t>
            </a:r>
            <a:endParaRPr>
              <a:solidFill>
                <a:srgbClr val="000000"/>
              </a:solidFill>
              <a:latin typeface="+mn-lt"/>
              <a:ea typeface="+mn-ea"/>
              <a:cs typeface="+mn-cs"/>
            </a:endParaRPr>
          </a:p>
        </c:rich>
      </c:tx>
      <c:layout>
        <c:manualLayout>
          <c:xMode val="edge"/>
          <c:yMode val="edge"/>
          <c:x val="0.702051034855199"/>
          <c:y val="0.23303278729746"/>
        </c:manualLayout>
      </c:layout>
      <c:overlay val="0"/>
      <c:spPr>
        <a:noFill/>
        <a:ln>
          <a:noFill/>
        </a:ln>
        <a:effectLst/>
      </c:spPr>
    </c:title>
    <c:autoTitleDeleted val="0"/>
    <c:view3D>
      <c:rotX val="30"/>
      <c:rotY val="87"/>
      <c:depthPercent val="100"/>
      <c:rAngAx val="1"/>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44423676012461"/>
          <c:y val="0.188953703703704"/>
          <c:w val="0.525258566978193"/>
          <c:h val="0.659592592592593"/>
        </c:manualLayout>
      </c:layout>
      <c:pie3DChart>
        <c:varyColors val="1"/>
        <c:ser>
          <c:idx val="0"/>
          <c:order val="0"/>
          <c:tx>
            <c:strRef>
              <c:f>'[20210907四川省学生资助管理中心决算公开（图表原始）.xlsx]Sheet1'!$B$26</c:f>
              <c:strCache>
                <c:ptCount val="1"/>
                <c:pt idx="0">
                  <c:v>2020年</c:v>
                </c:pt>
              </c:strCache>
            </c:strRef>
          </c:tx>
          <c:spPr>
            <a:scene3d>
              <a:camera prst="orthographicFront"/>
              <a:lightRig rig="threePt" dir="t"/>
            </a:scene3d>
            <a:sp3d contourW="9525"/>
          </c:spPr>
          <c:explosion val="0"/>
          <c:dPt>
            <c:idx val="0"/>
            <c:bubble3D val="0"/>
            <c:explosion val="0"/>
            <c:spPr>
              <a:gradFill rotWithShape="1">
                <a:gsLst>
                  <a:gs pos="0">
                    <a:srgbClr val="3372AB">
                      <a:shade val="51000"/>
                      <a:satMod val="130000"/>
                    </a:srgbClr>
                  </a:gs>
                  <a:gs pos="80000">
                    <a:srgbClr val="4697E0">
                      <a:shade val="93000"/>
                      <a:satMod val="130000"/>
                    </a:srgbClr>
                  </a:gs>
                  <a:gs pos="100000">
                    <a:srgbClr val="4498E4">
                      <a:shade val="94000"/>
                      <a:satMod val="135000"/>
                    </a:srgb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rgbClr val="C5570C">
                      <a:shade val="51000"/>
                      <a:satMod val="130000"/>
                    </a:srgbClr>
                  </a:gs>
                  <a:gs pos="80000">
                    <a:srgbClr val="FF7414">
                      <a:shade val="93000"/>
                      <a:satMod val="130000"/>
                    </a:srgbClr>
                  </a:gs>
                  <a:gs pos="100000">
                    <a:srgbClr val="FF730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2"/>
            <c:bubble3D val="0"/>
            <c:spPr>
              <a:gradFill rotWithShape="1">
                <a:gsLst>
                  <a:gs pos="0">
                    <a:srgbClr val="797979">
                      <a:shade val="51000"/>
                      <a:satMod val="130000"/>
                    </a:srgbClr>
                  </a:gs>
                  <a:gs pos="80000">
                    <a:srgbClr val="A0A0A0">
                      <a:shade val="93000"/>
                      <a:satMod val="130000"/>
                    </a:srgbClr>
                  </a:gs>
                  <a:gs pos="100000">
                    <a:srgbClr val="A0A0A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Lbls>
            <c:dLbl>
              <c:idx val="0"/>
              <c:layout>
                <c:manualLayout>
                  <c:x val="0.155081530968756"/>
                  <c:y val="-0.17020022731943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000000"/>
                        </a:solidFill>
                        <a:latin typeface="+mn-lt"/>
                        <a:ea typeface="+mn-ea"/>
                        <a:cs typeface="+mn-cs"/>
                      </a:defRPr>
                    </a:pPr>
                    <a:r>
                      <a:rPr lang="en-US" altLang="zh-CN" sz="1400">
                        <a:solidFill>
                          <a:srgbClr val="000000"/>
                        </a:solidFill>
                        <a:latin typeface="+mn-lt"/>
                        <a:ea typeface="+mn-ea"/>
                        <a:cs typeface="+mn-cs"/>
                      </a:rPr>
                      <a:t>295511.72</a:t>
                    </a:r>
                    <a:endParaRPr lang="en-US" altLang="zh-CN" sz="1400">
                      <a:solidFill>
                        <a:srgbClr val="000000"/>
                      </a:solidFill>
                      <a:latin typeface="+mn-lt"/>
                      <a:ea typeface="+mn-ea"/>
                      <a:cs typeface="+mn-cs"/>
                    </a:endParaRPr>
                  </a:p>
                  <a:p>
                    <a:pPr defTabSz="914400">
                      <a:defRPr lang="zh-CN" sz="900" b="0" i="0" u="none" strike="noStrike" kern="1200" baseline="0">
                        <a:solidFill>
                          <a:srgbClr val="000000"/>
                        </a:solidFill>
                        <a:latin typeface="+mn-lt"/>
                        <a:ea typeface="+mn-ea"/>
                        <a:cs typeface="+mn-cs"/>
                      </a:defRPr>
                    </a:pPr>
                    <a:r>
                      <a:rPr sz="1400">
                        <a:solidFill>
                          <a:srgbClr val="000000"/>
                        </a:solidFill>
                        <a:latin typeface="+mn-lt"/>
                        <a:ea typeface="+mn-ea"/>
                        <a:cs typeface="+mn-cs"/>
                      </a:rPr>
                      <a:t>占比100.00%</a:t>
                    </a:r>
                    <a:endParaRPr sz="1400">
                      <a:solidFill>
                        <a:srgbClr val="000000"/>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36611120277182"/>
                      <c:h val="0.224952224952225"/>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'[20210907四川省学生资助管理中心决算公开（图表原始）.xlsx]Sheet1'!$A$27:$A$29</c:f>
              <c:strCache>
                <c:ptCount val="3"/>
                <c:pt idx="0">
                  <c:v>一般公共预算财政拨款收入</c:v>
                </c:pt>
              </c:strCache>
            </c:strRef>
          </c:cat>
          <c:val>
            <c:numRef>
              <c:f>'[20210907四川省学生资助管理中心决算公开（图表原始）.xlsx]Sheet1'!$B$27:$B$29</c:f>
              <c:numCache>
                <c:formatCode>General</c:formatCode>
                <c:ptCount val="3"/>
                <c:pt idx="0">
                  <c:v>194933.57</c:v>
                </c:pt>
              </c:numCache>
            </c:numRef>
          </c:val>
        </c:ser>
        <c:dLbls>
          <c:showLegendKey val="0"/>
          <c:showVal val="0"/>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rgbClr val="000000"/>
                </a:solidFill>
                <a:latin typeface="+mn-lt"/>
                <a:ea typeface="+mn-ea"/>
                <a:cs typeface="+mn-cs"/>
              </a:defRPr>
            </a:pPr>
          </a:p>
        </c:txPr>
      </c:legendEntry>
      <c:legendEntry>
        <c:idx val="1"/>
        <c:delete val="1"/>
      </c:legendEntry>
      <c:legendEntry>
        <c:idx val="2"/>
        <c:delete val="1"/>
      </c:legendEntry>
      <c:layout>
        <c:manualLayout>
          <c:xMode val="edge"/>
          <c:yMode val="edge"/>
          <c:x val="0.662527716186253"/>
          <c:y val="0.39526242452392"/>
          <c:w val="0.25750184774575"/>
          <c:h val="0.1502554575011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000000"/>
              </a:solidFill>
              <a:latin typeface="+mn-lt"/>
              <a:ea typeface="+mn-ea"/>
              <a:cs typeface="+mn-cs"/>
            </a:defRPr>
          </a:pPr>
        </a:p>
      </c:txPr>
    </c:legend>
    <c:plotVisOnly val="1"/>
    <c:dispBlanksAs val="zero"/>
    <c:showDLblsOverMax val="0"/>
  </c:chart>
  <c:spPr>
    <a:solidFill>
      <a:srgbClr val="FFFFFF"/>
    </a:solidFill>
    <a:ln w="12700" cap="flat" cmpd="sng" algn="ctr">
      <a:solidFill>
        <a:srgbClr val="000000"/>
      </a:solidFill>
      <a:prstDash val="solid"/>
      <a:miter lim="800000"/>
    </a:ln>
    <a:effectLst/>
    <a:scene3d>
      <a:camera prst="orthographicFront"/>
      <a:lightRig rig="threePt" dir="t"/>
    </a:scene3d>
    <a:sp3d>
      <a:extrusionClr>
        <a:srgbClr val="FFFFFF"/>
      </a:extrusionClr>
      <a:contourClr>
        <a:srgbClr val="FFFFFF"/>
      </a:contourClr>
    </a:sp3d>
  </c:spPr>
  <c:txPr>
    <a:bodyPr/>
    <a:lstStyle/>
    <a:p>
      <a:pPr>
        <a:defRPr lang="zh-CN">
          <a:solidFill>
            <a:srgbClr val="000000"/>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rgbClr val="000000"/>
                </a:solidFill>
                <a:latin typeface="+mn-lt"/>
                <a:ea typeface="+mn-ea"/>
                <a:cs typeface="+mn-cs"/>
              </a:defRPr>
            </a:pPr>
            <a:r>
              <a:t>202</a:t>
            </a:r>
            <a:r>
              <a:rPr lang="en-US" altLang="zh-CN"/>
              <a:t>3</a:t>
            </a:r>
            <a:r>
              <a:t>年</a:t>
            </a:r>
          </a:p>
        </c:rich>
      </c:tx>
      <c:layout>
        <c:manualLayout>
          <c:xMode val="edge"/>
          <c:yMode val="edge"/>
          <c:x val="0.802906013826106"/>
          <c:y val="0.104166666666667"/>
        </c:manualLayout>
      </c:layout>
      <c:overlay val="0"/>
    </c:title>
    <c:autoTitleDeleted val="0"/>
    <c:view3D>
      <c:rotX val="30"/>
      <c:rotY val="87"/>
      <c:depthPercent val="100"/>
      <c:rAngAx val="1"/>
    </c:view3D>
    <c:floor>
      <c:thickness val="0"/>
    </c:floor>
    <c:sideWall>
      <c:thickness val="0"/>
    </c:sideWall>
    <c:backWall>
      <c:thickness val="0"/>
    </c:backWall>
    <c:plotArea>
      <c:layout>
        <c:manualLayout>
          <c:layoutTarget val="inner"/>
          <c:xMode val="edge"/>
          <c:yMode val="edge"/>
          <c:x val="0.0841395638629284"/>
          <c:y val="0.192425925925926"/>
          <c:w val="0.694898442367601"/>
          <c:h val="0.659592592592593"/>
        </c:manualLayout>
      </c:layout>
      <c:pie3DChart>
        <c:varyColors val="1"/>
        <c:ser>
          <c:idx val="0"/>
          <c:order val="0"/>
          <c:tx>
            <c:strRef>
              <c:f>'[20210907四川省学生资助管理中心决算公开（图表原始）.xlsx]Sheet1'!$B$51</c:f>
              <c:strCache>
                <c:ptCount val="1"/>
                <c:pt idx="0">
                  <c:v>2022年</c:v>
                </c:pt>
              </c:strCache>
            </c:strRef>
          </c:tx>
          <c:explosion val="0"/>
          <c:dPt>
            <c:idx val="0"/>
            <c:bubble3D val="0"/>
            <c:explosion val="67"/>
          </c:dPt>
          <c:dPt>
            <c:idx val="1"/>
            <c:bubble3D val="0"/>
          </c:dPt>
          <c:dLbls>
            <c:dLbl>
              <c:idx val="0"/>
              <c:layout>
                <c:manualLayout>
                  <c:x val="-0.0797616804641234"/>
                  <c:y val="-0.05737907949332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488.52</a:t>
                    </a:r>
                    <a:r>
                      <a:t>, </a:t>
                    </a:r>
                  </a:p>
                  <a:p>
                    <a:pPr defTabSz="914400">
                      <a:defRPr lang="zh-CN" sz="1000" b="0" i="0" u="none" strike="noStrike" kern="1200" baseline="0">
                        <a:solidFill>
                          <a:srgbClr val="000000"/>
                        </a:solidFill>
                        <a:latin typeface="+mn-lt"/>
                        <a:ea typeface="+mn-ea"/>
                        <a:cs typeface="+mn-cs"/>
                      </a:defRPr>
                    </a:pPr>
                    <a:r>
                      <a:t>0.1</a:t>
                    </a:r>
                    <a:r>
                      <a:rPr lang="en-US" altLang="zh-CN"/>
                      <a:t>7</a:t>
                    </a:r>
                    <a:r>
                      <a:t>%</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17757009345794"/>
                      <c:h val="0.195138888888889"/>
                    </c:manualLayout>
                  </c15:layout>
                </c:ext>
              </c:extLst>
            </c:dLbl>
            <c:dLbl>
              <c:idx val="1"/>
              <c:layout>
                <c:manualLayout>
                  <c:x val="0.00555555555555556"/>
                  <c:y val="-0.32358314773479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295023.20wa</a:t>
                    </a:r>
                    <a:r>
                      <a:t> 99.8</a:t>
                    </a:r>
                    <a:r>
                      <a:rPr lang="en-US" altLang="zh-CN"/>
                      <a:t>3</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'[20210907四川省学生资助管理中心决算公开（图表原始）.xlsx]Sheet1'!$A$52:$A$53</c:f>
              <c:strCache>
                <c:ptCount val="2"/>
                <c:pt idx="0">
                  <c:v>基本支出</c:v>
                </c:pt>
                <c:pt idx="1">
                  <c:v>项目支出</c:v>
                </c:pt>
              </c:strCache>
            </c:strRef>
          </c:cat>
          <c:val>
            <c:numRef>
              <c:f>'[20210907四川省学生资助管理中心决算公开（图表原始）.xlsx]Sheet1'!$B$52:$B$53</c:f>
              <c:numCache>
                <c:formatCode>General</c:formatCode>
                <c:ptCount val="2"/>
                <c:pt idx="0">
                  <c:v>315.14</c:v>
                </c:pt>
                <c:pt idx="1">
                  <c:v>259445.25</c:v>
                </c:pt>
              </c:numCache>
            </c:numRef>
          </c:val>
        </c:ser>
        <c:dLbls>
          <c:showLegendKey val="0"/>
          <c:showVal val="0"/>
          <c:showCatName val="0"/>
          <c:showSerName val="0"/>
          <c:showPercent val="0"/>
          <c:showBubbleSize val="0"/>
        </c:dLbls>
      </c:pie3DChart>
    </c:plotArea>
    <c:legend>
      <c:legendPos val="r"/>
      <c:layout>
        <c:manualLayout>
          <c:xMode val="edge"/>
          <c:yMode val="edge"/>
          <c:x val="0.328598130841121"/>
          <c:y val="0.763425925925926"/>
          <c:w val="0.316261682242991"/>
          <c:h val="0.156712962962963"/>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p>
      </c:txPr>
    </c:title>
    <c:autoTitleDeleted val="0"/>
    <c:plotArea>
      <c:layout/>
      <c:barChart>
        <c:barDir val="col"/>
        <c:grouping val="stacked"/>
        <c:varyColors val="0"/>
        <c:ser>
          <c:idx val="0"/>
          <c:order val="0"/>
          <c:tx>
            <c:strRef>
              <c:f>'[2021年四川省学生资助管理中心决算公开（图表原始）.xlsx]Sheet1'!$A$77</c:f>
              <c:strCache>
                <c:ptCount val="1"/>
                <c:pt idx="0">
                  <c:v>财政拨款收支总计</c:v>
                </c:pt>
              </c:strCache>
            </c:strRef>
          </c:tx>
          <c:invertIfNegative val="0"/>
          <c:dLbls>
            <c:dLbl>
              <c:idx val="0"/>
              <c:layout>
                <c:manualLayout>
                  <c:x val="-0.0166666666666667"/>
                  <c:y val="-0.3657407407407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3194448089822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'[2021年四川省学生资助管理中心决算公开（图表原始）.xlsx]Sheet1'!$B$76:$C$76</c:f>
              <c:numCache>
                <c:formatCode>General</c:formatCode>
                <c:ptCount val="2"/>
                <c:pt idx="0">
                  <c:v>2023</c:v>
                </c:pt>
                <c:pt idx="1">
                  <c:v>2022</c:v>
                </c:pt>
              </c:numCache>
            </c:numRef>
          </c:cat>
          <c:val>
            <c:numRef>
              <c:f>'[2021年四川省学生资助管理中心决算公开（图表原始）.xlsx]Sheet1'!$B$77:$C$77</c:f>
              <c:numCache>
                <c:formatCode>General</c:formatCode>
                <c:ptCount val="2"/>
                <c:pt idx="0">
                  <c:v>295511.72</c:v>
                </c:pt>
                <c:pt idx="1">
                  <c:v>259760.39</c:v>
                </c:pt>
              </c:numCache>
            </c:numRef>
          </c:val>
        </c:ser>
        <c:dLbls>
          <c:showLegendKey val="0"/>
          <c:showVal val="0"/>
          <c:showCatName val="0"/>
          <c:showSerName val="0"/>
          <c:showPercent val="0"/>
          <c:showBubbleSize val="0"/>
        </c:dLbls>
        <c:gapWidth val="150"/>
        <c:overlap val="100"/>
        <c:axId val="96578944"/>
        <c:axId val="96609408"/>
      </c:barChart>
      <c:catAx>
        <c:axId val="9657894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96609408"/>
        <c:crosses val="autoZero"/>
        <c:auto val="1"/>
        <c:lblAlgn val="ctr"/>
        <c:lblOffset val="100"/>
        <c:noMultiLvlLbl val="0"/>
      </c:catAx>
      <c:valAx>
        <c:axId val="96609408"/>
        <c:scaling>
          <c:orientation val="minMax"/>
          <c:min val="10000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96578944"/>
        <c:crosses val="autoZero"/>
        <c:crossBetween val="between"/>
        <c:majorUnit val="10000"/>
        <c:minorUnit val="400"/>
      </c:valAx>
      <c:spPr>
        <a:solidFill>
          <a:srgbClr val="FFFFFF"/>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p>
      </c:txPr>
    </c:title>
    <c:autoTitleDeleted val="0"/>
    <c:plotArea>
      <c:layout/>
      <c:barChart>
        <c:barDir val="col"/>
        <c:grouping val="stacked"/>
        <c:varyColors val="0"/>
        <c:ser>
          <c:idx val="0"/>
          <c:order val="0"/>
          <c:tx>
            <c:strRef>
              <c:f>'[2021年四川省学生资助管理中心决算公开（图表原始）.xlsx]Sheet1'!$A$98</c:f>
              <c:strCache>
                <c:ptCount val="1"/>
                <c:pt idx="0">
                  <c:v>一般公共预算财政拨款支出总计</c:v>
                </c:pt>
              </c:strCache>
            </c:strRef>
          </c:tx>
          <c:invertIfNegative val="0"/>
          <c:dLbls>
            <c:dLbl>
              <c:idx val="0"/>
              <c:layout>
                <c:manualLayout>
                  <c:x val="-0.0166666666666667"/>
                  <c:y val="-0.3657407407407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3194448089822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'[2021年四川省学生资助管理中心决算公开（图表原始）.xlsx]Sheet1'!$B$97:$C$97</c:f>
              <c:numCache>
                <c:formatCode>General</c:formatCode>
                <c:ptCount val="2"/>
                <c:pt idx="0">
                  <c:v>2023</c:v>
                </c:pt>
                <c:pt idx="1">
                  <c:v>2022</c:v>
                </c:pt>
              </c:numCache>
            </c:numRef>
          </c:cat>
          <c:val>
            <c:numRef>
              <c:f>'[2021年四川省学生资助管理中心决算公开（图表原始）.xlsx]Sheet1'!$B$98:$C$98</c:f>
              <c:numCache>
                <c:formatCode>General</c:formatCode>
                <c:ptCount val="2"/>
                <c:pt idx="0">
                  <c:v>295511.72</c:v>
                </c:pt>
                <c:pt idx="1">
                  <c:v>259760.39</c:v>
                </c:pt>
              </c:numCache>
            </c:numRef>
          </c:val>
        </c:ser>
        <c:dLbls>
          <c:showLegendKey val="0"/>
          <c:showVal val="0"/>
          <c:showCatName val="0"/>
          <c:showSerName val="0"/>
          <c:showPercent val="0"/>
          <c:showBubbleSize val="0"/>
        </c:dLbls>
        <c:gapWidth val="150"/>
        <c:overlap val="100"/>
        <c:axId val="96626176"/>
        <c:axId val="96627712"/>
      </c:barChart>
      <c:catAx>
        <c:axId val="966261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96627712"/>
        <c:crosses val="autoZero"/>
        <c:auto val="1"/>
        <c:lblAlgn val="ctr"/>
        <c:lblOffset val="100"/>
        <c:noMultiLvlLbl val="0"/>
      </c:catAx>
      <c:valAx>
        <c:axId val="96627712"/>
        <c:scaling>
          <c:orientation val="minMax"/>
          <c:min val="10000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96626176"/>
        <c:crosses val="autoZero"/>
        <c:crossBetween val="between"/>
        <c:majorUnit val="10000"/>
        <c:minorUnit val="400"/>
      </c:valAx>
      <c:spPr>
        <a:solidFill>
          <a:srgbClr val="FFFFFF"/>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rgbClr val="000000"/>
                </a:solidFill>
                <a:latin typeface="+mn-lt"/>
                <a:ea typeface="+mn-ea"/>
                <a:cs typeface="+mn-cs"/>
              </a:defRPr>
            </a:pPr>
            <a:r>
              <a:t>2023年</a:t>
            </a:r>
          </a:p>
        </c:rich>
      </c:tx>
      <c:layout>
        <c:manualLayout>
          <c:xMode val="edge"/>
          <c:yMode val="edge"/>
          <c:x val="0.751183105928553"/>
          <c:y val="0.0509259259259259"/>
        </c:manualLayout>
      </c:layout>
      <c:overlay val="0"/>
    </c:title>
    <c:autoTitleDeleted val="0"/>
    <c:view3D>
      <c:rotX val="30"/>
      <c:rotY val="87"/>
      <c:depthPercent val="100"/>
      <c:rAngAx val="1"/>
    </c:view3D>
    <c:floor>
      <c:thickness val="0"/>
    </c:floor>
    <c:sideWall>
      <c:thickness val="0"/>
    </c:sideWall>
    <c:backWall>
      <c:thickness val="0"/>
    </c:backWall>
    <c:plotArea>
      <c:layout>
        <c:manualLayout>
          <c:layoutTarget val="inner"/>
          <c:xMode val="edge"/>
          <c:yMode val="edge"/>
          <c:x val="0.0649719626168224"/>
          <c:y val="0.241268518518519"/>
          <c:w val="0.525258566978193"/>
          <c:h val="0.659592592592593"/>
        </c:manualLayout>
      </c:layout>
      <c:pie3DChart>
        <c:varyColors val="1"/>
        <c:ser>
          <c:idx val="0"/>
          <c:order val="0"/>
          <c:tx>
            <c:strRef>
              <c:f>'[2021年四川省学生资助管理中心决算公开（图表原始）.xlsx]Sheet1'!$B$119</c:f>
              <c:strCache>
                <c:ptCount val="1"/>
                <c:pt idx="0">
                  <c:v>2023</c:v>
                </c:pt>
              </c:strCache>
            </c:strRef>
          </c:tx>
          <c:explosion val="0"/>
          <c:dPt>
            <c:idx val="0"/>
            <c:bubble3D val="0"/>
            <c:explosion val="67"/>
          </c:dPt>
          <c:dPt>
            <c:idx val="1"/>
            <c:bubble3D val="0"/>
          </c:dPt>
          <c:dPt>
            <c:idx val="2"/>
            <c:bubble3D val="0"/>
          </c:dPt>
          <c:dPt>
            <c:idx val="3"/>
            <c:bubble3D val="0"/>
          </c:dPt>
          <c:dLbls>
            <c:dLbl>
              <c:idx val="0"/>
              <c:layout>
                <c:manualLayout>
                  <c:x val="-0.0166666666666667"/>
                  <c:y val="-0.3657407407407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sz="900"/>
                      <a:t>295363.46万元</a:t>
                    </a:r>
                    <a:r>
                      <a:t>, 99.95%</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555555555555556"/>
                  <c:y val="-0.31944480898221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t>40.77</a:t>
                    </a:r>
                    <a:r>
                      <a:rPr sz="900"/>
                      <a:t>万元</a:t>
                    </a:r>
                    <a:r>
                      <a:t>, 0.01</a:t>
                    </a:r>
                    <a:r>
                      <a:rPr lang="en-US" altLang="zh-CN"/>
                      <a:t>4</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1214953271028"/>
                  <c:y val="-0.05902777777777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t>20</a:t>
                    </a:r>
                    <a:r>
                      <a:rPr sz="900"/>
                      <a:t>万元</a:t>
                    </a:r>
                    <a:r>
                      <a:t>, 0.0</a:t>
                    </a:r>
                    <a:r>
                      <a:rPr lang="en-US" altLang="zh-CN"/>
                      <a:t>06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109657320872274"/>
                  <c:y val="0.07977642276422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t>87.49</a:t>
                    </a:r>
                    <a:r>
                      <a:rPr sz="900"/>
                      <a:t>万元</a:t>
                    </a:r>
                    <a:r>
                      <a:t>, 0.03%</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31339563862928"/>
                      <c:h val="0.157774390243902"/>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'[2021年四川省学生资助管理中心决算公开（图表原始）.xlsx]Sheet1'!$A$120:$A$123</c:f>
              <c:strCache>
                <c:ptCount val="4"/>
                <c:pt idx="0">
                  <c:v>教育支出（类）</c:v>
                </c:pt>
                <c:pt idx="1">
                  <c:v>社会保障和就业支出（类）</c:v>
                </c:pt>
                <c:pt idx="2">
                  <c:v>卫生健康支出（类）</c:v>
                </c:pt>
                <c:pt idx="3">
                  <c:v>住房保障支出（类）</c:v>
                </c:pt>
              </c:strCache>
            </c:strRef>
          </c:cat>
          <c:val>
            <c:numRef>
              <c:f>'[2021年四川省学生资助管理中心决算公开（图表原始）.xlsx]Sheet1'!$B$120:$B$123</c:f>
              <c:numCache>
                <c:formatCode>General</c:formatCode>
                <c:ptCount val="4"/>
                <c:pt idx="0">
                  <c:v>295363.46</c:v>
                </c:pt>
                <c:pt idx="1">
                  <c:v>40.77</c:v>
                </c:pt>
                <c:pt idx="2">
                  <c:v>20</c:v>
                </c:pt>
                <c:pt idx="3">
                  <c:v>87.49</c:v>
                </c:pt>
              </c:numCache>
            </c:numRef>
          </c:val>
        </c:ser>
        <c:dLbls>
          <c:showLegendKey val="0"/>
          <c:showVal val="0"/>
          <c:showCatName val="0"/>
          <c:showSerName val="0"/>
          <c:showPercent val="0"/>
          <c:showBubbleSize val="0"/>
        </c:dLbls>
      </c:pie3DChart>
    </c:plotArea>
    <c:legend>
      <c:legendPos val="r"/>
      <c:layout>
        <c:manualLayout>
          <c:xMode val="edge"/>
          <c:yMode val="edge"/>
          <c:x val="0.661931464174455"/>
          <c:y val="0.627413617886179"/>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600">
                <a:latin typeface="黑体" panose="02010609060101010101" charset="-122"/>
                <a:ea typeface="黑体" panose="02010609060101010101" charset="-122"/>
                <a:cs typeface="黑体" panose="02010609060101010101" charset="-122"/>
              </a:rPr>
              <a:t>2023</a:t>
            </a:r>
            <a:r>
              <a:rPr altLang="zh-CN" sz="1600">
                <a:latin typeface="黑体" panose="02010609060101010101" charset="-122"/>
                <a:ea typeface="黑体" panose="02010609060101010101" charset="-122"/>
                <a:cs typeface="黑体" panose="02010609060101010101" charset="-122"/>
              </a:rPr>
              <a:t>年</a:t>
            </a:r>
            <a:r>
              <a:rPr sz="1600">
                <a:latin typeface="黑体" panose="02010609060101010101" charset="-122"/>
                <a:ea typeface="黑体" panose="02010609060101010101" charset="-122"/>
                <a:cs typeface="黑体" panose="02010609060101010101" charset="-122"/>
              </a:rPr>
              <a:t>三公经费</a:t>
            </a:r>
            <a:endParaRPr sz="1600">
              <a:latin typeface="黑体" panose="02010609060101010101" charset="-122"/>
              <a:ea typeface="黑体" panose="02010609060101010101" charset="-122"/>
              <a:cs typeface="黑体" panose="02010609060101010101" charset="-122"/>
            </a:endParaRPr>
          </a:p>
        </c:rich>
      </c:tx>
      <c:layout>
        <c:manualLayout>
          <c:xMode val="edge"/>
          <c:yMode val="edge"/>
          <c:x val="0.319444444444444"/>
          <c:y val="0.115376228321121"/>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87134502923977"/>
          <c:y val="0.212986111111111"/>
          <c:w val="0.826222222222222"/>
          <c:h val="0.587685185185185"/>
        </c:manualLayout>
      </c:layout>
      <c:pie3DChart>
        <c:varyColors val="1"/>
        <c:ser>
          <c:idx val="0"/>
          <c:order val="0"/>
          <c:spPr/>
          <c:explosion val="0"/>
          <c:dPt>
            <c:idx val="0"/>
            <c:bubble3D val="0"/>
            <c:spPr>
              <a:solidFill>
                <a:srgbClr val="5B9BD5"/>
              </a:solidFill>
              <a:ln w="25400">
                <a:solidFill>
                  <a:srgbClr val="FFFFFF"/>
                </a:solidFill>
              </a:ln>
              <a:effectLst/>
            </c:spPr>
          </c:dPt>
          <c:dPt>
            <c:idx val="1"/>
            <c:bubble3D val="0"/>
            <c:spPr>
              <a:solidFill>
                <a:srgbClr val="ED7D31"/>
              </a:solidFill>
              <a:ln w="25400">
                <a:solidFill>
                  <a:srgbClr val="FFFFFF"/>
                </a:solidFill>
              </a:ln>
              <a:effectLst/>
            </c:spPr>
          </c:dPt>
          <c:dPt>
            <c:idx val="2"/>
            <c:bubble3D val="0"/>
            <c:spPr>
              <a:solidFill>
                <a:srgbClr val="A5A5A5"/>
              </a:solidFill>
              <a:ln w="25400">
                <a:solidFill>
                  <a:srgbClr val="FFFFFF"/>
                </a:solidFill>
              </a:ln>
              <a:effectLst/>
            </c:spPr>
          </c:dPt>
          <c:dLbls>
            <c:dLbl>
              <c:idx val="1"/>
              <c:layout>
                <c:manualLayout>
                  <c:x val="-0.00680555555555556"/>
                  <c:y val="-0.3733796296296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sz="1500" b="1">
                        <a:latin typeface="黑体" panose="02010609060101010101" charset="-122"/>
                        <a:ea typeface="黑体" panose="02010609060101010101" charset="-122"/>
                        <a:cs typeface="黑体" panose="02010609060101010101" charset="-122"/>
                      </a:rPr>
                      <a:t>1.58</a:t>
                    </a:r>
                    <a:r>
                      <a:rPr altLang="en-US" sz="1500" b="1">
                        <a:latin typeface="黑体" panose="02010609060101010101" charset="-122"/>
                        <a:ea typeface="黑体" panose="02010609060101010101" charset="-122"/>
                        <a:cs typeface="黑体" panose="02010609060101010101" charset="-122"/>
                      </a:rPr>
                      <a:t>万元</a:t>
                    </a:r>
                    <a:r>
                      <a:rPr sz="1500" b="1">
                        <a:latin typeface="黑体" panose="02010609060101010101" charset="-122"/>
                        <a:ea typeface="黑体" panose="02010609060101010101" charset="-122"/>
                        <a:cs typeface="黑体" panose="02010609060101010101" charset="-122"/>
                      </a:rPr>
                      <a:t>，</a:t>
                    </a:r>
                    <a:r>
                      <a:rPr lang="en-US" altLang="zh-CN" sz="1500" b="1">
                        <a:latin typeface="黑体" panose="02010609060101010101" charset="-122"/>
                        <a:ea typeface="黑体" panose="02010609060101010101" charset="-122"/>
                        <a:cs typeface="黑体" panose="02010609060101010101" charset="-122"/>
                      </a:rPr>
                      <a:t>24.3%</a:t>
                    </a:r>
                    <a:endParaRPr lang="en-US" altLang="zh-CN" sz="1500" b="1">
                      <a:latin typeface="黑体" panose="02010609060101010101" charset="-122"/>
                      <a:ea typeface="黑体" panose="02010609060101010101" charset="-122"/>
                      <a:cs typeface="黑体" panose="0201060906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358456140350877"/>
                      <c:h val="0.23593964334705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'[附件2信息系统情况调查表(1).ET]Sheet1'!$E$4:$E$6</c:f>
              <c:strCache>
                <c:ptCount val="3"/>
                <c:pt idx="0">
                  <c:v>因公出国（境）费</c:v>
                </c:pt>
                <c:pt idx="1">
                  <c:v>公务用车购置及运行维护费</c:v>
                </c:pt>
                <c:pt idx="2">
                  <c:v>公务接待费支出</c:v>
                </c:pt>
              </c:strCache>
            </c:strRef>
          </c:cat>
          <c:val>
            <c:numRef>
              <c:f>'[附件2信息系统情况调查表(1).ET]Sheet1'!$F$4:$F$6</c:f>
              <c:numCache>
                <c:formatCode>General</c:formatCode>
                <c:ptCount val="3"/>
                <c:pt idx="1">
                  <c:v>18.41</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rgbClr val="5B9BD5"/>
  <a:srgbClr val="ED7D31"/>
  <a:srgbClr val="A5A5A5"/>
  <a:srgbClr val="FFC000"/>
  <a:srgbClr val="4472C4"/>
  <a:srgbClr val="70AD47"/>
</cs:colorStyle>
</file>

<file path=word/charts/colors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12700"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44546A"/>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rgbClr val="000000"/>
    </cs:fontRef>
  </cs:dataPoint>
  <cs:dataPoint3D>
    <cs:lnRef idx="0"/>
    <cs:fillRef idx="3">
      <cs:styleClr val="auto"/>
    </cs:fillRef>
    <cs:effectRef idx="3"/>
    <cs:fontRef idx="minor">
      <a:srgbClr val="000000"/>
    </cs:fontRef>
  </cs:dataPoint3D>
  <cs:dataPointLine>
    <cs:lnRef idx="0">
      <cs:styleClr val="auto"/>
    </cs:lnRef>
    <cs:fillRef idx="3"/>
    <cs:effectRef idx="3"/>
    <cs:fontRef idx="minor">
      <a:srgbClr val="000000"/>
    </cs:fontRef>
    <cs:spPr>
      <a:ln w="34925" cap="rnd">
        <a:solidFill>
          <a:srgbClr val="FFFFFF"/>
        </a:solidFill>
        <a:round/>
      </a:ln>
    </cs:spPr>
  </cs:dataPointLine>
  <cs:dataPointMarker>
    <cs:lnRef idx="0">
      <cs:styleClr val="auto"/>
    </cs:lnRef>
    <cs:fillRef idx="3">
      <cs:styleClr val="auto"/>
    </cs:fillRef>
    <cs:effectRef idx="3"/>
    <cs:fontRef idx="minor">
      <a:srgbClr val="000000"/>
    </cs:fontRef>
    <cs:spPr>
      <a:ln w="9525">
        <a:solidFill>
          <a:srgbClr val="FFFFFF"/>
        </a:solidFill>
        <a:round/>
      </a:ln>
    </cs:spPr>
  </cs:dataPointMarker>
  <cs:dataPointMarkerLayout symbol="circle" size="6"/>
  <cs:dataPointWireframe>
    <cs:lnRef idx="0">
      <cs:styleClr val="auto"/>
    </cs:lnRef>
    <cs:fillRef idx="3"/>
    <cs:effectRef idx="3"/>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FFFFFF"/>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cs:lnRef idx="0"/>
    <cs:fillRef idx="0"/>
    <cs:effectRef idx="0"/>
    <cs:fontRef idx="minor">
      <a:srgbClr val="FFFFFF"/>
    </cs:fontRef>
  </cs:plotArea>
  <cs:plotArea3D>
    <cs:lnRef idx="0"/>
    <cs:fillRef idx="0"/>
    <cs:effectRef idx="0"/>
    <cs:fontRef idx="minor">
      <a:srgbClr val="FFFFFF"/>
    </cs:fontRef>
  </cs:plotArea3D>
  <cs:seriesAxis>
    <cs:lnRef idx="0"/>
    <cs:fillRef idx="0"/>
    <cs:effectRef idx="0"/>
    <cs:fontRef idx="minor">
      <a:srgbClr val="595959">
        <a:lumMod val="65000"/>
        <a:lumOff val="35000"/>
      </a:srgbClr>
    </cs:fontRef>
    <cs:spPr>
      <a:ln w="12700"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600" b="1" kern="1200" baseline="0"/>
  </cs:title>
  <cs:trendline>
    <cs:lnRef idx="0">
      <cs:styleClr val="auto"/>
    </cs:lnRef>
    <cs:fillRef idx="0"/>
    <cs:effectRef idx="0"/>
    <cs:fontRef idx="minor">
      <a:srgbClr val="FFFFFF"/>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FFFFFF"/>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rgbClr val="D9D9D9">
        <a:lumMod val="85000"/>
      </a:srgbClr>
    </cs:fontRef>
    <cs:defRPr sz="900" b="1" kern="1200" cap="all"/>
  </cs:axisTitle>
  <cs:categoryAxis>
    <cs:lnRef idx="0"/>
    <cs:fillRef idx="0"/>
    <cs:effectRef idx="0"/>
    <cs:fontRef idx="minor">
      <a:srgbClr val="D9D9D9">
        <a:lumMod val="85000"/>
      </a:srgbClr>
    </cs:fontRef>
    <cs:spPr>
      <a:ln w="12700" cap="flat" cmpd="sng" algn="ctr">
        <a:solidFill>
          <a:srgbClr val="F2F2F2">
            <a:lumMod val="95000"/>
            <a:alpha val="54000"/>
          </a:srgbClr>
        </a:solidFill>
        <a:round/>
      </a:ln>
    </cs:spPr>
    <cs:defRPr sz="900" kern="1200"/>
  </cs:categoryAxis>
  <cs:chartArea>
    <cs:lnRef idx="0"/>
    <cs:fillRef idx="0"/>
    <cs:effectRef idx="0"/>
    <cs:fontRef idx="minor">
      <a:srgbClr val="000000"/>
    </cs:fontRef>
    <cs:spPr>
      <a:gradFill flip="none" rotWithShape="1">
        <a:gsLst>
          <a:gs pos="0">
            <a:srgbClr val="595959">
              <a:lumMod val="65000"/>
              <a:lumOff val="35000"/>
            </a:srgbClr>
          </a:gs>
          <a:gs pos="100000">
            <a:srgbClr val="262626">
              <a:lumMod val="85000"/>
              <a:lumOff val="15000"/>
            </a:srgbClr>
          </a:gs>
        </a:gsLst>
        <a:path path="circle">
          <a:fillToRect l="50000" t="50000" r="50000" b="50000"/>
        </a:path>
      </a:gradFill>
    </cs:spPr>
    <cs:defRPr sz="1000" kern="1200"/>
  </cs:chartArea>
  <cs:dataLabel>
    <cs:lnRef idx="0"/>
    <cs:fillRef idx="0"/>
    <cs:effectRef idx="0"/>
    <cs:fontRef idx="minor">
      <a:srgbClr val="D9D9D9">
        <a:lumMod val="85000"/>
      </a:srgbClr>
    </cs:fontRef>
    <cs:defRPr sz="900" kern="1200"/>
  </cs:dataLabel>
  <cs:dataLabelCallout>
    <cs:lnRef idx="0"/>
    <cs:fillRef idx="0"/>
    <cs:effectRef idx="0"/>
    <cs:fontRef idx="minor">
      <a:srgbClr val="595959">
        <a:lumMod val="65000"/>
        <a:lumOff val="35000"/>
      </a:srgbClr>
    </cs:fontRef>
    <cs:spPr>
      <a:solidFill>
        <a:srgbClr val="FFFFFF"/>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rgbClr val="FFFFFF"/>
    </cs:fontRef>
  </cs:dataPoint>
  <cs:dataPoint3D>
    <cs:lnRef idx="0"/>
    <cs:fillRef idx="3">
      <cs:styleClr val="auto"/>
    </cs:fillRef>
    <cs:effectRef idx="3"/>
    <cs:fontRef idx="minor">
      <a:srgbClr val="FFFFFF"/>
    </cs:fontRef>
  </cs:dataPoint3D>
  <cs:dataPointLine>
    <cs:lnRef idx="0">
      <cs:styleClr val="auto"/>
    </cs:lnRef>
    <cs:fillRef idx="3"/>
    <cs:effectRef idx="3"/>
    <cs:fontRef idx="minor">
      <a:srgbClr val="FFFFFF"/>
    </cs:fontRef>
    <cs:spPr>
      <a:ln w="34925" cap="rnd">
        <a:solidFill>
          <a:srgbClr val="FFFFFF"/>
        </a:solidFill>
        <a:round/>
      </a:ln>
    </cs:spPr>
  </cs:dataPointLine>
  <cs:dataPointMarker>
    <cs:lnRef idx="0">
      <cs:styleClr val="auto"/>
    </cs:lnRef>
    <cs:fillRef idx="3">
      <cs:styleClr val="auto"/>
    </cs:fillRef>
    <cs:effectRef idx="3"/>
    <cs:fontRef idx="minor">
      <a:srgbClr val="FFFFFF"/>
    </cs:fontRef>
    <cs:spPr>
      <a:ln w="9525">
        <a:solidFill>
          <a:srgbClr val="FFFFFF"/>
        </a:solidFill>
        <a:round/>
      </a:ln>
    </cs:spPr>
  </cs:dataPointMarker>
  <cs:dataPointMarkerLayout symbol="circle" size="6"/>
  <cs:dataPointWireframe>
    <cs:lnRef idx="0">
      <cs:styleClr val="auto"/>
    </cs:lnRef>
    <cs:fillRef idx="3"/>
    <cs:effectRef idx="3"/>
    <cs:fontRef idx="minor">
      <a:srgbClr val="FFFFFF"/>
    </cs:fontRef>
    <cs:spPr>
      <a:ln w="9525" cap="rnd">
        <a:solidFill>
          <a:srgbClr val="FFFFFF"/>
        </a:solidFill>
        <a:round/>
      </a:ln>
    </cs:spPr>
  </cs:dataPointWireframe>
  <cs:dataTable>
    <cs:lnRef idx="0"/>
    <cs:fillRef idx="0"/>
    <cs:effectRef idx="0"/>
    <cs:fontRef idx="minor">
      <a:srgbClr val="D9D9D9">
        <a:lumMod val="85000"/>
      </a:srgbClr>
    </cs:fontRef>
    <cs:spPr>
      <a:ln w="9525">
        <a:solidFill>
          <a:srgbClr val="F2F2F2">
            <a:lumMod val="95000"/>
            <a:alpha val="54000"/>
          </a:srgbClr>
        </a:solidFill>
      </a:ln>
    </cs:spPr>
    <cs:defRPr sz="900" kern="1200"/>
  </cs:dataTable>
  <cs:downBar>
    <cs:lnRef idx="0"/>
    <cs:fillRef idx="0"/>
    <cs:effectRef idx="0"/>
    <cs:fontRef idx="minor">
      <a:srgbClr val="FFFFFF"/>
    </cs:fontRef>
    <cs:spPr>
      <a:solidFill>
        <a:srgbClr val="404040">
          <a:lumMod val="75000"/>
          <a:lumOff val="25000"/>
        </a:srgbClr>
      </a:solidFill>
      <a:ln w="9525">
        <a:solidFill>
          <a:srgbClr val="F2F2F2">
            <a:lumMod val="95000"/>
            <a:alpha val="54000"/>
          </a:srgbClr>
        </a:solidFill>
      </a:ln>
    </cs:spPr>
  </cs:downBar>
  <cs:dropLine>
    <cs:lnRef idx="0"/>
    <cs:fillRef idx="0"/>
    <cs:effectRef idx="0"/>
    <cs:fontRef idx="minor">
      <a:srgbClr val="FFFFFF"/>
    </cs:fontRef>
    <cs:spPr>
      <a:ln w="9525">
        <a:solidFill>
          <a:srgbClr val="F2F2F2">
            <a:lumMod val="95000"/>
            <a:alpha val="54000"/>
          </a:srgbClr>
        </a:solidFill>
        <a:prstDash val="dash"/>
      </a:ln>
    </cs:spPr>
  </cs:dropLine>
  <cs:errorBar>
    <cs:lnRef idx="0"/>
    <cs:fillRef idx="0"/>
    <cs:effectRef idx="0"/>
    <cs:fontRef idx="minor">
      <a:srgbClr val="FFFFFF"/>
    </cs:fontRef>
    <cs:spPr>
      <a:ln w="9525" cap="flat" cmpd="sng" algn="ctr">
        <a:solidFill>
          <a:srgbClr val="F2F2F2">
            <a:lumMod val="95000"/>
          </a:srgbClr>
        </a:solidFill>
        <a:round/>
      </a:ln>
    </cs:spPr>
  </cs:errorBar>
  <cs:floor>
    <cs:lnRef idx="0"/>
    <cs:fillRef idx="0"/>
    <cs:effectRef idx="0"/>
    <cs:fontRef idx="minor">
      <a:srgbClr val="FFFFFF"/>
    </cs:fontRef>
  </cs:floor>
  <cs:gridlineMajor>
    <cs:lnRef idx="0"/>
    <cs:fillRef idx="0"/>
    <cs:effectRef idx="0"/>
    <cs:fontRef idx="minor">
      <a:srgbClr val="FFFFFF"/>
    </cs:fontRef>
    <cs:spPr>
      <a:ln w="9525" cap="flat" cmpd="sng" algn="ctr">
        <a:solidFill>
          <a:srgbClr val="F2F2F2">
            <a:lumMod val="95000"/>
            <a:alpha val="10000"/>
          </a:srgbClr>
        </a:solidFill>
        <a:round/>
      </a:ln>
    </cs:spPr>
  </cs:gridlineMajor>
  <cs:gridlineMinor>
    <cs:lnRef idx="0"/>
    <cs:fillRef idx="0"/>
    <cs:effectRef idx="0"/>
    <cs:fontRef idx="minor">
      <a:srgbClr val="FFFFFF"/>
    </cs:fontRef>
    <cs:spPr>
      <a:ln>
        <a:solidFill>
          <a:srgbClr val="F2F2F2">
            <a:lumMod val="95000"/>
            <a:alpha val="5000"/>
          </a:srgbClr>
        </a:solidFill>
      </a:ln>
    </cs:spPr>
  </cs:gridlineMinor>
  <cs:hiLoLine>
    <cs:lnRef idx="0"/>
    <cs:fillRef idx="0"/>
    <cs:effectRef idx="0"/>
    <cs:fontRef idx="minor">
      <a:srgbClr val="FFFFFF"/>
    </cs:fontRef>
    <cs:spPr>
      <a:ln w="9525">
        <a:solidFill>
          <a:srgbClr val="F2F2F2">
            <a:lumMod val="95000"/>
            <a:alpha val="54000"/>
          </a:srgbClr>
        </a:solidFill>
        <a:prstDash val="dash"/>
      </a:ln>
    </cs:spPr>
  </cs:hiLoLine>
  <cs:leaderLine>
    <cs:lnRef idx="0"/>
    <cs:fillRef idx="0"/>
    <cs:effectRef idx="0"/>
    <cs:fontRef idx="minor">
      <a:srgbClr val="FFFFFF"/>
    </cs:fontRef>
    <cs:spPr>
      <a:ln w="9525">
        <a:solidFill>
          <a:srgbClr val="F2F2F2">
            <a:lumMod val="95000"/>
            <a:alpha val="54000"/>
          </a:srgbClr>
        </a:solidFill>
      </a:ln>
    </cs:spPr>
  </cs:leaderLine>
  <cs:legend>
    <cs:lnRef idx="0"/>
    <cs:fillRef idx="0"/>
    <cs:effectRef idx="0"/>
    <cs:fontRef idx="minor">
      <a:srgbClr val="D9D9D9">
        <a:lumMod val="85000"/>
      </a:srgbClr>
    </cs:fontRef>
    <cs:defRPr sz="900" kern="1200"/>
  </cs:legend>
  <cs:plotArea>
    <cs:lnRef idx="0"/>
    <cs:fillRef idx="0"/>
    <cs:effectRef idx="0"/>
    <cs:fontRef idx="minor">
      <a:srgbClr val="FFFFFF"/>
    </cs:fontRef>
  </cs:plotArea>
  <cs:plotArea3D>
    <cs:lnRef idx="0"/>
    <cs:fillRef idx="0"/>
    <cs:effectRef idx="0"/>
    <cs:fontRef idx="minor">
      <a:srgbClr val="FFFFFF"/>
    </cs:fontRef>
  </cs:plotArea3D>
  <cs:seriesAxis>
    <cs:lnRef idx="0"/>
    <cs:fillRef idx="0"/>
    <cs:effectRef idx="0"/>
    <cs:fontRef idx="minor">
      <a:srgbClr val="D9D9D9">
        <a:lumMod val="85000"/>
      </a:srgbClr>
    </cs:fontRef>
    <cs:spPr>
      <a:ln w="12700" cap="flat" cmpd="sng" algn="ctr">
        <a:solidFill>
          <a:srgbClr val="F2F2F2">
            <a:lumMod val="95000"/>
            <a:alpha val="54000"/>
          </a:srgbClr>
        </a:solidFill>
        <a:round/>
      </a:ln>
    </cs:spPr>
    <cs:defRPr sz="900" kern="1200"/>
  </cs:seriesAxis>
  <cs:seriesLine>
    <cs:lnRef idx="0"/>
    <cs:fillRef idx="0"/>
    <cs:effectRef idx="0"/>
    <cs:fontRef idx="minor">
      <a:srgbClr val="FFFFFF"/>
    </cs:fontRef>
    <cs:spPr>
      <a:ln w="9525" cap="flat" cmpd="sng" algn="ctr">
        <a:solidFill>
          <a:srgbClr val="F2F2F2">
            <a:lumMod val="95000"/>
            <a:alpha val="54000"/>
          </a:srgbClr>
        </a:solidFill>
        <a:round/>
      </a:ln>
    </cs:spPr>
  </cs:seriesLine>
  <cs:title>
    <cs:lnRef idx="0"/>
    <cs:fillRef idx="0"/>
    <cs:effectRef idx="0"/>
    <cs:fontRef idx="minor">
      <a:srgbClr val="F2F2F2">
        <a:lumMod val="95000"/>
      </a:srgb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rgbClr val="FFFFFF"/>
    </cs:fontRef>
    <cs:spPr>
      <a:ln w="19050" cap="rnd">
        <a:solidFill>
          <a:srgbClr val="FFFFFF"/>
        </a:solidFill>
      </a:ln>
    </cs:spPr>
  </cs:trendline>
  <cs:trendlineLabel>
    <cs:lnRef idx="0"/>
    <cs:fillRef idx="0"/>
    <cs:effectRef idx="0"/>
    <cs:fontRef idx="minor">
      <a:srgbClr val="D9D9D9">
        <a:lumMod val="85000"/>
      </a:srgbClr>
    </cs:fontRef>
    <cs:defRPr sz="900" kern="1200"/>
  </cs:trendlineLabel>
  <cs:upBar>
    <cs:lnRef idx="0"/>
    <cs:fillRef idx="0"/>
    <cs:effectRef idx="0"/>
    <cs:fontRef idx="minor">
      <a:srgbClr val="FFFFFF"/>
    </cs:fontRef>
    <cs:spPr>
      <a:solidFill>
        <a:srgbClr val="FFFFFF"/>
      </a:solidFill>
      <a:ln w="9525">
        <a:solidFill>
          <a:srgbClr val="F2F2F2">
            <a:lumMod val="95000"/>
            <a:alpha val="54000"/>
          </a:srgbClr>
        </a:solidFill>
      </a:ln>
    </cs:spPr>
  </cs:upBar>
  <cs:valueAxis>
    <cs:lnRef idx="0"/>
    <cs:fillRef idx="0"/>
    <cs:effectRef idx="0"/>
    <cs:fontRef idx="minor">
      <a:srgbClr val="D9D9D9">
        <a:lumMod val="85000"/>
      </a:srgbClr>
    </cs:fontRef>
    <cs:defRPr sz="900" kern="1200"/>
  </cs:valueAxis>
  <cs:wall>
    <cs:lnRef idx="0"/>
    <cs:fillRef idx="0"/>
    <cs:effectRef idx="0"/>
    <cs:fontRef idx="minor">
      <a:srgbClr val="FFFFFF"/>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2022-07-07T09:02:00Z</dcterms:created>
  <dc:creator>Lenovo</dc:creator>
  <cp:lastModifiedBy>唐红</cp:lastModifiedBy>
  <dcterms:modified xsi:type="dcterms:W3CDTF">2024-09-10T06:57:52Z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AEC51A6F89FB4D5C9D63D2140EFE5D71</vt:lpwstr>
  </property>
</Properties>
</file>