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B5D" w:rsidRPr="00036CFC" w:rsidRDefault="00865B5D" w:rsidP="00036CFC">
      <w:pPr>
        <w:adjustRightInd w:val="0"/>
        <w:spacing w:beforeLines="100" w:line="360" w:lineRule="auto"/>
        <w:rPr>
          <w:rFonts w:eastAsia="仿宋"/>
          <w:sz w:val="32"/>
          <w:szCs w:val="32"/>
        </w:rPr>
      </w:pPr>
      <w:r w:rsidRPr="00036CFC">
        <w:rPr>
          <w:rFonts w:eastAsia="仿宋"/>
          <w:sz w:val="32"/>
          <w:szCs w:val="32"/>
        </w:rPr>
        <w:t>附</w:t>
      </w:r>
      <w:r w:rsidRPr="00036CFC">
        <w:rPr>
          <w:rFonts w:eastAsia="仿宋"/>
          <w:sz w:val="32"/>
          <w:szCs w:val="32"/>
        </w:rPr>
        <w:t>6</w:t>
      </w:r>
      <w:r w:rsidRPr="00036CFC">
        <w:rPr>
          <w:rFonts w:eastAsia="仿宋"/>
          <w:sz w:val="32"/>
          <w:szCs w:val="32"/>
        </w:rPr>
        <w:t>：</w:t>
      </w:r>
    </w:p>
    <w:p w:rsidR="007C4864" w:rsidRPr="00036CFC" w:rsidRDefault="00793F52" w:rsidP="00036CFC">
      <w:pPr>
        <w:adjustRightInd w:val="0"/>
        <w:snapToGrid w:val="0"/>
        <w:spacing w:beforeLines="100" w:line="360" w:lineRule="auto"/>
        <w:jc w:val="center"/>
        <w:rPr>
          <w:rFonts w:eastAsia="方正小标宋_GBK"/>
          <w:color w:val="000000" w:themeColor="text1"/>
          <w:kern w:val="2"/>
          <w:sz w:val="44"/>
          <w:szCs w:val="44"/>
        </w:rPr>
      </w:pPr>
      <w:r w:rsidRPr="00036CFC">
        <w:rPr>
          <w:rFonts w:eastAsia="方正小标宋_GBK"/>
          <w:color w:val="000000" w:themeColor="text1"/>
          <w:kern w:val="2"/>
          <w:sz w:val="44"/>
          <w:szCs w:val="44"/>
        </w:rPr>
        <w:t>研究生国家助学金实施细则</w:t>
      </w:r>
    </w:p>
    <w:p w:rsidR="007C4864" w:rsidRPr="00036CFC" w:rsidRDefault="00793F52" w:rsidP="00980984">
      <w:pPr>
        <w:adjustRightInd w:val="0"/>
        <w:spacing w:line="360" w:lineRule="auto"/>
        <w:ind w:firstLine="641"/>
        <w:rPr>
          <w:rFonts w:eastAsia="仿宋_GB2312"/>
          <w:color w:val="000000"/>
          <w:kern w:val="2"/>
          <w:sz w:val="32"/>
          <w:szCs w:val="28"/>
        </w:rPr>
      </w:pP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第一条</w:t>
      </w:r>
      <w:r w:rsidRPr="00036CFC">
        <w:rPr>
          <w:rFonts w:eastAsia="仿宋_GB2312" w:hAnsi="仿宋_GB2312"/>
          <w:color w:val="000000"/>
          <w:kern w:val="2"/>
          <w:sz w:val="32"/>
          <w:szCs w:val="28"/>
        </w:rPr>
        <w:t xml:space="preserve">　研究生国家助学金，用于资助普通高校纳入全国研究生招生计划的所有全日制研究生（有固定工资收入的除外），补助研究生基本生活支出。获得资助的研究生须具有中华人民共和国国籍。</w:t>
      </w:r>
    </w:p>
    <w:p w:rsidR="00542861" w:rsidRPr="00036CFC" w:rsidRDefault="00542861" w:rsidP="00542861">
      <w:pPr>
        <w:adjustRightInd w:val="0"/>
        <w:spacing w:line="360" w:lineRule="auto"/>
        <w:ind w:firstLine="641"/>
        <w:rPr>
          <w:rFonts w:eastAsia="仿宋_GB2312"/>
          <w:color w:val="000000"/>
          <w:kern w:val="2"/>
          <w:sz w:val="32"/>
          <w:szCs w:val="28"/>
        </w:rPr>
      </w:pP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 xml:space="preserve">第二条　</w:t>
      </w:r>
      <w:r w:rsidRPr="00036CFC">
        <w:rPr>
          <w:rFonts w:eastAsia="仿宋_GB2312" w:hAnsi="仿宋_GB2312"/>
          <w:color w:val="000000"/>
          <w:kern w:val="2"/>
          <w:sz w:val="32"/>
          <w:szCs w:val="28"/>
        </w:rPr>
        <w:t>全国学生资助管理中心根据各省（自治区、直辖市、计划单列市，下同）所属高校符合研究生国家助学金资助条件的在校学生人数，提出研究生国家助学金名额分配建议方案，报财政部、教育部审定。</w:t>
      </w:r>
    </w:p>
    <w:p w:rsidR="00542861" w:rsidRPr="00036CFC" w:rsidRDefault="00542861" w:rsidP="00542861">
      <w:pPr>
        <w:adjustRightInd w:val="0"/>
        <w:spacing w:line="360" w:lineRule="auto"/>
        <w:ind w:firstLine="641"/>
        <w:rPr>
          <w:rFonts w:eastAsia="仿宋_GB2312"/>
          <w:color w:val="000000"/>
          <w:kern w:val="2"/>
          <w:sz w:val="32"/>
          <w:szCs w:val="28"/>
        </w:rPr>
      </w:pP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 xml:space="preserve">第三条　</w:t>
      </w:r>
      <w:r w:rsidRPr="00036CFC">
        <w:rPr>
          <w:rFonts w:eastAsia="仿宋_GB2312" w:hAnsi="仿宋_GB2312"/>
          <w:color w:val="000000"/>
          <w:kern w:val="2"/>
          <w:sz w:val="32"/>
          <w:szCs w:val="28"/>
        </w:rPr>
        <w:t>财政部、教育部将审定的研究生国家助学金名额下达各省财政、教育部门。各省财政、教育部门按程序将研究生国家助学金名额下达至相关高校。</w:t>
      </w:r>
    </w:p>
    <w:p w:rsidR="007C4864" w:rsidRPr="00036CFC" w:rsidRDefault="00793F52" w:rsidP="00980984">
      <w:pPr>
        <w:adjustRightInd w:val="0"/>
        <w:spacing w:line="360" w:lineRule="auto"/>
        <w:ind w:firstLine="641"/>
        <w:rPr>
          <w:rFonts w:eastAsia="仿宋_GB2312"/>
          <w:color w:val="000000"/>
          <w:kern w:val="2"/>
          <w:sz w:val="32"/>
          <w:szCs w:val="28"/>
        </w:rPr>
      </w:pP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第</w:t>
      </w:r>
      <w:r w:rsidR="00B321B7"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四</w:t>
      </w: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条</w:t>
      </w:r>
      <w:r w:rsidRPr="00036CFC">
        <w:rPr>
          <w:rFonts w:eastAsia="仿宋_GB2312" w:hAnsi="仿宋_GB2312"/>
          <w:color w:val="000000"/>
          <w:kern w:val="2"/>
          <w:sz w:val="32"/>
          <w:szCs w:val="28"/>
        </w:rPr>
        <w:t xml:space="preserve">　高校应按月将研究生国家助学金发放到符合条件的学生手中。</w:t>
      </w:r>
    </w:p>
    <w:p w:rsidR="007C4864" w:rsidRPr="00036CFC" w:rsidRDefault="00793F52" w:rsidP="00980984">
      <w:pPr>
        <w:adjustRightInd w:val="0"/>
        <w:spacing w:line="360" w:lineRule="auto"/>
        <w:ind w:firstLine="641"/>
        <w:rPr>
          <w:rFonts w:eastAsia="仿宋_GB2312"/>
          <w:color w:val="000000"/>
          <w:kern w:val="2"/>
          <w:sz w:val="32"/>
          <w:szCs w:val="28"/>
        </w:rPr>
      </w:pP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第</w:t>
      </w:r>
      <w:r w:rsidR="00B321B7"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五</w:t>
      </w: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 xml:space="preserve">条　</w:t>
      </w:r>
      <w:r w:rsidRPr="00036CFC">
        <w:rPr>
          <w:rFonts w:eastAsia="仿宋_GB2312" w:hAnsi="仿宋_GB2312"/>
          <w:color w:val="000000"/>
          <w:kern w:val="2"/>
          <w:sz w:val="32"/>
          <w:szCs w:val="28"/>
        </w:rPr>
        <w:t>直博生和招生简章中注明不授予中间学位的本硕博、硕博连读学生，根据当年所修课程的层次阶段确定身份参与国家助学金的发放。在选修硕士课程阶段按照硕士研究生身份发放国家助学金；进入选修博士研究生课程阶段按照博士研究生身份发放国家助学金。</w:t>
      </w:r>
    </w:p>
    <w:p w:rsidR="007C4864" w:rsidRPr="00036CFC" w:rsidRDefault="00793F52" w:rsidP="00980984">
      <w:pPr>
        <w:adjustRightInd w:val="0"/>
        <w:spacing w:line="360" w:lineRule="auto"/>
        <w:ind w:firstLine="641"/>
        <w:rPr>
          <w:rFonts w:eastAsia="仿宋_GB2312"/>
          <w:color w:val="000000"/>
          <w:kern w:val="2"/>
          <w:sz w:val="32"/>
          <w:szCs w:val="28"/>
        </w:rPr>
      </w:pP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lastRenderedPageBreak/>
        <w:t>第</w:t>
      </w:r>
      <w:r w:rsidR="00B321B7"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六</w:t>
      </w:r>
      <w:r w:rsidRPr="00036CFC">
        <w:rPr>
          <w:rFonts w:eastAsia="仿宋_GB2312" w:hAnsi="仿宋_GB2312"/>
          <w:b/>
          <w:color w:val="000000"/>
          <w:kern w:val="2"/>
          <w:sz w:val="32"/>
          <w:szCs w:val="28"/>
        </w:rPr>
        <w:t>条</w:t>
      </w:r>
      <w:r w:rsidRPr="00036CFC">
        <w:rPr>
          <w:rFonts w:eastAsia="仿宋_GB2312"/>
          <w:b/>
          <w:color w:val="000000"/>
          <w:kern w:val="2"/>
          <w:sz w:val="32"/>
          <w:szCs w:val="28"/>
        </w:rPr>
        <w:t xml:space="preserve"> </w:t>
      </w:r>
      <w:r w:rsidRPr="00036CFC">
        <w:rPr>
          <w:rFonts w:eastAsia="仿宋_GB2312"/>
          <w:color w:val="000000"/>
          <w:kern w:val="2"/>
          <w:sz w:val="32"/>
          <w:szCs w:val="28"/>
        </w:rPr>
        <w:t xml:space="preserve"> </w:t>
      </w:r>
      <w:r w:rsidRPr="00036CFC">
        <w:rPr>
          <w:rFonts w:eastAsia="仿宋_GB2312" w:hAnsi="仿宋_GB2312"/>
          <w:color w:val="000000"/>
          <w:kern w:val="2"/>
          <w:sz w:val="32"/>
          <w:szCs w:val="28"/>
        </w:rPr>
        <w:t>研究生在学制期限内，由于出国、疾病等原因办理保留学籍或休学等手续的，暂停对其发放研究生国家助学金，待其恢复学籍后再行发放。超过规定学制年限的延期毕业生不再享受研究生国家助学金。</w:t>
      </w:r>
    </w:p>
    <w:sectPr w:rsidR="007C4864" w:rsidRPr="00036CFC" w:rsidSect="007C486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8F2CCD" w15:done="0"/>
  <w15:commentEx w15:paraId="7857FB6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757" w:rsidRDefault="002C2757" w:rsidP="007C4864">
      <w:r>
        <w:separator/>
      </w:r>
    </w:p>
  </w:endnote>
  <w:endnote w:type="continuationSeparator" w:id="1">
    <w:p w:rsidR="002C2757" w:rsidRDefault="002C2757" w:rsidP="007C4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_GB2312" w:eastAsia="仿宋_GB2312" w:hint="eastAsia"/>
        <w:sz w:val="24"/>
        <w:szCs w:val="24"/>
      </w:rPr>
      <w:id w:val="202500383"/>
      <w:docPartObj>
        <w:docPartGallery w:val="Page Numbers (Bottom of Page)"/>
        <w:docPartUnique/>
      </w:docPartObj>
    </w:sdtPr>
    <w:sdtContent>
      <w:p w:rsidR="00036CFC" w:rsidRPr="00036CFC" w:rsidRDefault="00036CFC">
        <w:pPr>
          <w:pStyle w:val="a3"/>
          <w:jc w:val="center"/>
          <w:rPr>
            <w:rFonts w:ascii="仿宋_GB2312" w:eastAsia="仿宋_GB2312" w:hint="eastAsia"/>
            <w:sz w:val="24"/>
            <w:szCs w:val="24"/>
          </w:rPr>
        </w:pPr>
        <w:r w:rsidRPr="00036CFC">
          <w:rPr>
            <w:rFonts w:ascii="仿宋_GB2312" w:eastAsia="仿宋_GB2312" w:hint="eastAsia"/>
            <w:sz w:val="24"/>
            <w:szCs w:val="24"/>
          </w:rPr>
          <w:fldChar w:fldCharType="begin"/>
        </w:r>
        <w:r w:rsidRPr="00036CFC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036CFC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2C2757" w:rsidRPr="002C2757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036CFC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7C4864" w:rsidRDefault="007C48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757" w:rsidRDefault="002C2757" w:rsidP="007C4864">
      <w:r>
        <w:separator/>
      </w:r>
    </w:p>
  </w:footnote>
  <w:footnote w:type="continuationSeparator" w:id="1">
    <w:p w:rsidR="002C2757" w:rsidRDefault="002C2757" w:rsidP="007C4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07F0"/>
    <w:rsid w:val="00036CFC"/>
    <w:rsid w:val="0006032D"/>
    <w:rsid w:val="00076B01"/>
    <w:rsid w:val="001846AB"/>
    <w:rsid w:val="001A2E5B"/>
    <w:rsid w:val="00256EA1"/>
    <w:rsid w:val="0027617F"/>
    <w:rsid w:val="00291DA7"/>
    <w:rsid w:val="002C2757"/>
    <w:rsid w:val="00376588"/>
    <w:rsid w:val="003A07F0"/>
    <w:rsid w:val="00416E48"/>
    <w:rsid w:val="0054101B"/>
    <w:rsid w:val="00542861"/>
    <w:rsid w:val="00544BA5"/>
    <w:rsid w:val="00545A04"/>
    <w:rsid w:val="005E388A"/>
    <w:rsid w:val="005F303B"/>
    <w:rsid w:val="006B0AD8"/>
    <w:rsid w:val="006E5205"/>
    <w:rsid w:val="00754303"/>
    <w:rsid w:val="00793F52"/>
    <w:rsid w:val="007B1EF2"/>
    <w:rsid w:val="007C4864"/>
    <w:rsid w:val="007D3E8B"/>
    <w:rsid w:val="0081148B"/>
    <w:rsid w:val="00865B5D"/>
    <w:rsid w:val="00866992"/>
    <w:rsid w:val="008D401A"/>
    <w:rsid w:val="00941EF4"/>
    <w:rsid w:val="00980984"/>
    <w:rsid w:val="009A5DD4"/>
    <w:rsid w:val="009C6779"/>
    <w:rsid w:val="009E0C4E"/>
    <w:rsid w:val="00B0161B"/>
    <w:rsid w:val="00B321B7"/>
    <w:rsid w:val="00BD0BBB"/>
    <w:rsid w:val="00C406E5"/>
    <w:rsid w:val="00CA368E"/>
    <w:rsid w:val="00CA6E63"/>
    <w:rsid w:val="00CD3F54"/>
    <w:rsid w:val="00D0312F"/>
    <w:rsid w:val="00DB0EB4"/>
    <w:rsid w:val="00DD4D27"/>
    <w:rsid w:val="00E4302A"/>
    <w:rsid w:val="00E50BFF"/>
    <w:rsid w:val="00F62AD9"/>
    <w:rsid w:val="00F87300"/>
    <w:rsid w:val="02571D2D"/>
    <w:rsid w:val="08775749"/>
    <w:rsid w:val="104C4A05"/>
    <w:rsid w:val="218D56BE"/>
    <w:rsid w:val="2D365F27"/>
    <w:rsid w:val="4ED83D2F"/>
    <w:rsid w:val="595359A1"/>
    <w:rsid w:val="789E0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64"/>
    <w:pPr>
      <w:widowControl w:val="0"/>
      <w:jc w:val="both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48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C486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4864"/>
    <w:rPr>
      <w:sz w:val="18"/>
      <w:szCs w:val="18"/>
    </w:rPr>
  </w:style>
  <w:style w:type="character" w:customStyle="1" w:styleId="2GB2312Char">
    <w:name w:val="样式 标题 2 + 仿宋_GB2312 Char"/>
    <w:basedOn w:val="a0"/>
    <w:rsid w:val="007C4864"/>
    <w:rPr>
      <w:rFonts w:ascii="仿宋_GB2312" w:eastAsia="仿宋_GB2312" w:hAnsi="仿宋_GB2312" w:cs="Times New Roman"/>
      <w:b/>
      <w:bCs/>
      <w:kern w:val="2"/>
      <w:sz w:val="32"/>
      <w:szCs w:val="32"/>
      <w:lang w:val="en-US" w:eastAsia="zh-CN" w:bidi="ar-SA"/>
    </w:rPr>
  </w:style>
  <w:style w:type="character" w:styleId="a5">
    <w:name w:val="annotation reference"/>
    <w:basedOn w:val="a0"/>
    <w:uiPriority w:val="99"/>
    <w:semiHidden/>
    <w:unhideWhenUsed/>
    <w:rsid w:val="001846A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846A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846AB"/>
    <w:rPr>
      <w:rFonts w:ascii="Times New Roman" w:hAnsi="Times New Roman"/>
      <w:sz w:val="21"/>
      <w:szCs w:val="21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846AB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846AB"/>
    <w:rPr>
      <w:rFonts w:ascii="Times New Roman" w:hAnsi="Times New Roman"/>
      <w:b/>
      <w:bCs/>
      <w:sz w:val="21"/>
      <w:szCs w:val="21"/>
    </w:rPr>
  </w:style>
  <w:style w:type="paragraph" w:styleId="a8">
    <w:name w:val="Balloon Text"/>
    <w:basedOn w:val="a"/>
    <w:link w:val="Char3"/>
    <w:uiPriority w:val="99"/>
    <w:semiHidden/>
    <w:unhideWhenUsed/>
    <w:rsid w:val="001846A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846AB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58835A8C-3CB0-AD48-A7D3-526D440E6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>china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高瑛泽</cp:lastModifiedBy>
  <cp:revision>3</cp:revision>
  <dcterms:created xsi:type="dcterms:W3CDTF">2019-02-01T07:25:00Z</dcterms:created>
  <dcterms:modified xsi:type="dcterms:W3CDTF">2019-04-03T08:26:00Z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2052-11.1.0.8214</vt:lpwstr>
  </property>
</Properties>
</file>